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556E3" w14:textId="77777777" w:rsidR="00364EA2" w:rsidRPr="00E673FE" w:rsidRDefault="00364EA2">
      <w:pPr>
        <w:spacing w:before="100" w:beforeAutospacing="1" w:after="100" w:afterAutospacing="1" w:line="276" w:lineRule="auto"/>
        <w:outlineLvl w:val="2"/>
        <w:rPr>
          <w:rFonts w:eastAsia="Times New Roman" w:cs="Times New Roman"/>
          <w:b/>
          <w:bCs/>
          <w:i/>
          <w:iCs/>
          <w:kern w:val="0"/>
          <w14:ligatures w14:val="none"/>
        </w:rPr>
      </w:pPr>
    </w:p>
    <w:p w14:paraId="022AEF0B" w14:textId="54608E40" w:rsidR="00012F46" w:rsidRPr="00E673FE" w:rsidRDefault="00012F46" w:rsidP="00012F46">
      <w:pPr>
        <w:spacing w:before="100" w:beforeAutospacing="1" w:after="100" w:afterAutospacing="1" w:line="240" w:lineRule="auto"/>
        <w:outlineLvl w:val="2"/>
        <w:rPr>
          <w:rFonts w:eastAsia="Times New Roman" w:cs="Times New Roman"/>
          <w:b/>
          <w:bCs/>
          <w:kern w:val="0"/>
          <w:sz w:val="28"/>
          <w:szCs w:val="28"/>
          <w14:ligatures w14:val="none"/>
        </w:rPr>
      </w:pPr>
      <w:r w:rsidRPr="00E673FE">
        <w:rPr>
          <w:rFonts w:eastAsia="Times New Roman" w:cs="Times New Roman"/>
          <w:b/>
          <w:bCs/>
          <w:kern w:val="0"/>
          <w:sz w:val="28"/>
          <w:szCs w:val="28"/>
          <w14:ligatures w14:val="none"/>
        </w:rPr>
        <w:t>Women’s Participation and Wellbeing in Transitory Food Retail Spaces: Insights from Weekly Markets in Urban Peripheries of Dar es Salaam, Tanzania</w:t>
      </w:r>
    </w:p>
    <w:p w14:paraId="06FBBA68" w14:textId="77777777" w:rsidR="00012F46" w:rsidRPr="00E673FE" w:rsidRDefault="00012F46">
      <w:pPr>
        <w:spacing w:before="100" w:beforeAutospacing="1" w:after="100" w:afterAutospacing="1" w:line="240" w:lineRule="auto"/>
        <w:outlineLvl w:val="2"/>
        <w:rPr>
          <w:rFonts w:eastAsia="Times New Roman" w:cs="Times New Roman"/>
          <w:b/>
          <w:bCs/>
          <w:kern w:val="0"/>
          <w:sz w:val="32"/>
          <w:szCs w:val="32"/>
          <w14:ligatures w14:val="none"/>
        </w:rPr>
      </w:pPr>
    </w:p>
    <w:p w14:paraId="11DA626E" w14:textId="77777777" w:rsidR="00364EA2" w:rsidRPr="00E673FE" w:rsidRDefault="00000000">
      <w:pPr>
        <w:spacing w:before="100" w:beforeAutospacing="1" w:after="100" w:afterAutospacing="1" w:line="276" w:lineRule="auto"/>
        <w:outlineLvl w:val="2"/>
        <w:rPr>
          <w:rFonts w:eastAsia="Times New Roman" w:cs="Times New Roman"/>
          <w:kern w:val="0"/>
          <w14:ligatures w14:val="none"/>
        </w:rPr>
      </w:pPr>
      <w:r w:rsidRPr="00E673FE">
        <w:rPr>
          <w:rFonts w:eastAsia="Times New Roman" w:cs="Times New Roman"/>
          <w:b/>
          <w:bCs/>
          <w:kern w:val="0"/>
          <w14:ligatures w14:val="none"/>
        </w:rPr>
        <w:t xml:space="preserve">Authors: </w:t>
      </w:r>
    </w:p>
    <w:p w14:paraId="01FEC146" w14:textId="2C139946" w:rsidR="00364EA2" w:rsidRPr="00E673FE" w:rsidRDefault="00000000">
      <w:pPr>
        <w:spacing w:before="100" w:beforeAutospacing="1" w:after="100" w:afterAutospacing="1" w:line="276" w:lineRule="auto"/>
        <w:outlineLvl w:val="2"/>
        <w:rPr>
          <w:rFonts w:eastAsia="Times New Roman" w:cs="Times New Roman"/>
          <w:kern w:val="0"/>
          <w14:ligatures w14:val="none"/>
        </w:rPr>
      </w:pPr>
      <w:r w:rsidRPr="00E673FE">
        <w:rPr>
          <w:rFonts w:eastAsia="Times New Roman" w:cs="Times New Roman"/>
          <w:kern w:val="0"/>
          <w14:ligatures w14:val="none"/>
        </w:rPr>
        <w:t xml:space="preserve">Ngassa, </w:t>
      </w:r>
      <w:proofErr w:type="spellStart"/>
      <w:r w:rsidRPr="00E673FE">
        <w:rPr>
          <w:rFonts w:eastAsia="Times New Roman" w:cs="Times New Roman"/>
          <w:kern w:val="0"/>
          <w14:ligatures w14:val="none"/>
        </w:rPr>
        <w:t>C.</w:t>
      </w:r>
      <w:r w:rsidR="007D36F8" w:rsidRPr="007D36F8">
        <w:rPr>
          <w:rFonts w:eastAsia="Times New Roman" w:cs="Times New Roman"/>
          <w:kern w:val="0"/>
          <w:vertAlign w:val="superscript"/>
          <w14:ligatures w14:val="none"/>
        </w:rPr>
        <w:t>a</w:t>
      </w:r>
      <w:proofErr w:type="spellEnd"/>
      <w:r w:rsidRPr="00E673FE">
        <w:rPr>
          <w:rFonts w:eastAsia="Times New Roman" w:cs="Times New Roman"/>
          <w:kern w:val="0"/>
          <w14:ligatures w14:val="none"/>
        </w:rPr>
        <w:t xml:space="preserve">, </w:t>
      </w:r>
      <w:proofErr w:type="spellStart"/>
      <w:r w:rsidRPr="00E673FE">
        <w:rPr>
          <w:rFonts w:eastAsia="Times New Roman" w:cs="Times New Roman"/>
          <w:kern w:val="0"/>
          <w14:ligatures w14:val="none"/>
        </w:rPr>
        <w:t>Kinunda</w:t>
      </w:r>
      <w:proofErr w:type="spellEnd"/>
      <w:r w:rsidRPr="00E673FE">
        <w:rPr>
          <w:rFonts w:eastAsia="Times New Roman" w:cs="Times New Roman"/>
          <w:kern w:val="0"/>
          <w14:ligatures w14:val="none"/>
        </w:rPr>
        <w:t xml:space="preserve">, </w:t>
      </w:r>
      <w:proofErr w:type="spellStart"/>
      <w:r w:rsidRPr="00E673FE">
        <w:rPr>
          <w:rFonts w:eastAsia="Times New Roman" w:cs="Times New Roman"/>
          <w:kern w:val="0"/>
          <w14:ligatures w14:val="none"/>
        </w:rPr>
        <w:t>N.</w:t>
      </w:r>
      <w:r w:rsidR="007D36F8" w:rsidRPr="007D36F8">
        <w:rPr>
          <w:rFonts w:eastAsia="Times New Roman" w:cs="Times New Roman"/>
          <w:kern w:val="0"/>
          <w:vertAlign w:val="superscript"/>
          <w14:ligatures w14:val="none"/>
        </w:rPr>
        <w:t>b</w:t>
      </w:r>
      <w:proofErr w:type="spellEnd"/>
      <w:r w:rsidRPr="00E673FE">
        <w:rPr>
          <w:rFonts w:eastAsia="Times New Roman" w:cs="Times New Roman"/>
          <w:kern w:val="0"/>
          <w14:ligatures w14:val="none"/>
        </w:rPr>
        <w:t xml:space="preserve">, </w:t>
      </w:r>
      <w:r w:rsidR="005E264C">
        <w:rPr>
          <w:rFonts w:eastAsia="Times New Roman" w:cs="Times New Roman"/>
          <w:kern w:val="0"/>
          <w14:ligatures w14:val="none"/>
        </w:rPr>
        <w:t xml:space="preserve">and </w:t>
      </w:r>
      <w:r w:rsidRPr="00E673FE">
        <w:rPr>
          <w:rFonts w:eastAsia="Times New Roman" w:cs="Times New Roman"/>
          <w:kern w:val="0"/>
          <w14:ligatures w14:val="none"/>
        </w:rPr>
        <w:t xml:space="preserve">Kissoly, </w:t>
      </w:r>
      <w:proofErr w:type="spellStart"/>
      <w:r w:rsidRPr="00E673FE">
        <w:rPr>
          <w:rFonts w:eastAsia="Times New Roman" w:cs="Times New Roman"/>
          <w:kern w:val="0"/>
          <w14:ligatures w14:val="none"/>
        </w:rPr>
        <w:t>L.</w:t>
      </w:r>
      <w:r w:rsidR="007D36F8" w:rsidRPr="007D36F8">
        <w:rPr>
          <w:rFonts w:eastAsia="Times New Roman" w:cs="Times New Roman"/>
          <w:kern w:val="0"/>
          <w:vertAlign w:val="superscript"/>
          <w14:ligatures w14:val="none"/>
        </w:rPr>
        <w:t>a</w:t>
      </w:r>
      <w:proofErr w:type="spellEnd"/>
    </w:p>
    <w:p w14:paraId="56215CC9" w14:textId="7A6BC796" w:rsidR="003B6C66" w:rsidRPr="007D36F8" w:rsidRDefault="007D36F8" w:rsidP="007D36F8">
      <w:pPr>
        <w:spacing w:before="0" w:after="160"/>
        <w:ind w:left="360" w:hanging="360"/>
        <w:rPr>
          <w:rFonts w:cs="Times New Roman"/>
        </w:rPr>
      </w:pPr>
      <w:r w:rsidRPr="007D36F8">
        <w:rPr>
          <w:rFonts w:cs="Times New Roman"/>
          <w:vertAlign w:val="superscript"/>
        </w:rPr>
        <w:t>a</w:t>
      </w:r>
      <w:r>
        <w:rPr>
          <w:rFonts w:cs="Times New Roman"/>
        </w:rPr>
        <w:t xml:space="preserve"> </w:t>
      </w:r>
      <w:r w:rsidR="003B6C66" w:rsidRPr="007D36F8">
        <w:rPr>
          <w:rFonts w:cs="Times New Roman"/>
        </w:rPr>
        <w:t>Department of Economics and Social Studies, Ardhi University, Dar es Salaam, Tanzania</w:t>
      </w:r>
    </w:p>
    <w:p w14:paraId="0920EEB9" w14:textId="03E2C552" w:rsidR="003B6C66" w:rsidRPr="007D36F8" w:rsidRDefault="007D36F8" w:rsidP="007D36F8">
      <w:pPr>
        <w:spacing w:before="0" w:after="160"/>
        <w:rPr>
          <w:rFonts w:cs="Times New Roman"/>
          <w:lang w:val="en-TZ"/>
        </w:rPr>
      </w:pPr>
      <w:r w:rsidRPr="007D36F8">
        <w:rPr>
          <w:rFonts w:cs="Times New Roman"/>
          <w:vertAlign w:val="superscript"/>
        </w:rPr>
        <w:t>b</w:t>
      </w:r>
      <w:r>
        <w:rPr>
          <w:rFonts w:cs="Times New Roman"/>
        </w:rPr>
        <w:t xml:space="preserve"> </w:t>
      </w:r>
      <w:r w:rsidR="003B6C66" w:rsidRPr="007D36F8">
        <w:rPr>
          <w:rFonts w:cs="Times New Roman"/>
        </w:rPr>
        <w:t>Department of History, Political Science and Development Studies. DUCE – University of Dar es Salaam, Tanzania</w:t>
      </w:r>
    </w:p>
    <w:p w14:paraId="082D4FBC" w14:textId="77777777" w:rsidR="00364EA2" w:rsidRPr="00E673FE" w:rsidRDefault="00364EA2">
      <w:pPr>
        <w:spacing w:before="100" w:beforeAutospacing="1" w:after="100" w:afterAutospacing="1" w:line="276" w:lineRule="auto"/>
        <w:outlineLvl w:val="2"/>
        <w:rPr>
          <w:rFonts w:eastAsia="Times New Roman" w:cs="Times New Roman"/>
          <w:b/>
          <w:bCs/>
          <w:i/>
          <w:iCs/>
          <w:kern w:val="0"/>
          <w14:ligatures w14:val="none"/>
        </w:rPr>
      </w:pPr>
    </w:p>
    <w:p w14:paraId="4D589BB0" w14:textId="77777777" w:rsidR="00364EA2" w:rsidRPr="00E673FE" w:rsidRDefault="00000000">
      <w:pPr>
        <w:spacing w:before="100" w:beforeAutospacing="1" w:after="100" w:afterAutospacing="1" w:line="276" w:lineRule="auto"/>
        <w:outlineLvl w:val="2"/>
        <w:rPr>
          <w:rFonts w:eastAsia="Times New Roman" w:cs="Times New Roman"/>
          <w:b/>
          <w:bCs/>
          <w:kern w:val="0"/>
          <w14:ligatures w14:val="none"/>
        </w:rPr>
      </w:pPr>
      <w:r w:rsidRPr="00E673FE">
        <w:rPr>
          <w:rFonts w:eastAsia="Times New Roman" w:cs="Times New Roman"/>
          <w:b/>
          <w:bCs/>
          <w:kern w:val="0"/>
          <w14:ligatures w14:val="none"/>
        </w:rPr>
        <w:t>Abstract</w:t>
      </w:r>
    </w:p>
    <w:p w14:paraId="6A1558A9" w14:textId="77777777" w:rsidR="00707319" w:rsidRPr="00325A21" w:rsidRDefault="00000000" w:rsidP="00707319">
      <w:r w:rsidRPr="00494488">
        <w:t xml:space="preserve">Weekly Food Markets (WFMs) are an increasingly important feature of urban food systems in sub-Saharan Africa, particularly in the underserved peripheries of rapidly growing cities. In Dar es Salaam, Tanzania, WFMs serve as critical access points for affordable and diverse foods. Despite their importance, the gendered dynamics within these markets remain underexplored. This study investigates women’s participation and well-being in WFMs, focusing on how socio-cultural norms, institutional arrangements, and structural barriers shape their engagement and outcomes. </w:t>
      </w:r>
      <w:r w:rsidRPr="00494488">
        <w:rPr>
          <w:rFonts w:eastAsia="Times New Roman" w:cs="Times New Roman"/>
          <w:kern w:val="0"/>
          <w14:ligatures w14:val="none"/>
        </w:rPr>
        <w:t>Using a mixed-methods approach—including a cross-sectional survey of 381 vendors and 506 buyers across 31 WFMs, complemented by focus group discussions and key informant interviews—the study applies the Social Relations Approach (SRA) to analyze gendered access to resources, decision-making power, and autonomy within market settings.</w:t>
      </w:r>
      <w:r w:rsidR="00494488">
        <w:rPr>
          <w:rFonts w:eastAsia="Times New Roman" w:cs="Times New Roman"/>
          <w:kern w:val="0"/>
          <w14:ligatures w14:val="none"/>
        </w:rPr>
        <w:t xml:space="preserve"> </w:t>
      </w:r>
      <w:r w:rsidRPr="00494488">
        <w:rPr>
          <w:rFonts w:eastAsia="Times New Roman" w:cs="Times New Roman"/>
          <w:kern w:val="0"/>
          <w14:ligatures w14:val="none"/>
        </w:rPr>
        <w:t xml:space="preserve">Findings indicate that </w:t>
      </w:r>
      <w:r w:rsidR="00325A21" w:rsidRPr="00E673FE">
        <w:rPr>
          <w:lang w:eastAsia="zh-CN"/>
        </w:rPr>
        <w:t>women’s participation in WFMs is driven by a number of interrelated factors reflecting both livelihood necessities and seeking of opportunities.</w:t>
      </w:r>
      <w:r w:rsidR="00325A21">
        <w:t xml:space="preserve"> In addition, </w:t>
      </w:r>
      <w:r w:rsidRPr="00494488">
        <w:rPr>
          <w:rFonts w:eastAsia="Times New Roman" w:cs="Times New Roman"/>
          <w:kern w:val="0"/>
          <w14:ligatures w14:val="none"/>
        </w:rPr>
        <w:t xml:space="preserve">WFMs </w:t>
      </w:r>
      <w:r w:rsidR="00325A21">
        <w:rPr>
          <w:rFonts w:eastAsia="Times New Roman" w:cs="Times New Roman"/>
          <w:kern w:val="0"/>
          <w14:ligatures w14:val="none"/>
        </w:rPr>
        <w:t>contributes to enhanced</w:t>
      </w:r>
      <w:r w:rsidRPr="00494488">
        <w:rPr>
          <w:rFonts w:eastAsia="Times New Roman" w:cs="Times New Roman"/>
          <w:kern w:val="0"/>
          <w14:ligatures w14:val="none"/>
        </w:rPr>
        <w:t xml:space="preserve"> income</w:t>
      </w:r>
      <w:r w:rsidR="00325A21">
        <w:rPr>
          <w:rFonts w:eastAsia="Times New Roman" w:cs="Times New Roman"/>
          <w:kern w:val="0"/>
          <w14:ligatures w14:val="none"/>
        </w:rPr>
        <w:t xml:space="preserve">, economic security, personal autonomy and overall wellbeing. </w:t>
      </w:r>
      <w:r w:rsidRPr="00494488">
        <w:rPr>
          <w:rFonts w:eastAsia="Times New Roman" w:cs="Times New Roman"/>
          <w:kern w:val="0"/>
          <w14:ligatures w14:val="none"/>
        </w:rPr>
        <w:t xml:space="preserve"> </w:t>
      </w:r>
      <w:r w:rsidR="00325A21">
        <w:rPr>
          <w:rFonts w:eastAsia="Times New Roman" w:cs="Times New Roman"/>
          <w:kern w:val="0"/>
          <w14:ligatures w14:val="none"/>
        </w:rPr>
        <w:t xml:space="preserve">However, </w:t>
      </w:r>
      <w:r w:rsidRPr="00494488">
        <w:rPr>
          <w:rFonts w:eastAsia="Times New Roman" w:cs="Times New Roman"/>
          <w:kern w:val="0"/>
          <w14:ligatures w14:val="none"/>
        </w:rPr>
        <w:t xml:space="preserve">these are undermined by </w:t>
      </w:r>
      <w:r w:rsidR="00325A21">
        <w:rPr>
          <w:rFonts w:eastAsia="Times New Roman" w:cs="Times New Roman"/>
          <w:kern w:val="0"/>
          <w14:ligatures w14:val="none"/>
        </w:rPr>
        <w:t xml:space="preserve">social reproductive responsibilities, gender-blind market regulations, environment and </w:t>
      </w:r>
      <w:r w:rsidR="00325A21" w:rsidRPr="00494488">
        <w:rPr>
          <w:rFonts w:eastAsia="Times New Roman" w:cs="Times New Roman"/>
          <w:kern w:val="0"/>
          <w14:ligatures w14:val="none"/>
        </w:rPr>
        <w:t>infrastructure</w:t>
      </w:r>
      <w:r w:rsidRPr="00494488">
        <w:rPr>
          <w:rFonts w:eastAsia="Times New Roman" w:cs="Times New Roman"/>
          <w:kern w:val="0"/>
          <w14:ligatures w14:val="none"/>
        </w:rPr>
        <w:t xml:space="preserve">. Supportive policy interventions are essential. </w:t>
      </w:r>
      <w:r w:rsidR="00325A21">
        <w:rPr>
          <w:rFonts w:eastAsia="Times New Roman" w:cs="Times New Roman"/>
          <w:kern w:val="0"/>
          <w14:ligatures w14:val="none"/>
        </w:rPr>
        <w:t xml:space="preserve">This underscores the </w:t>
      </w:r>
      <w:r w:rsidR="00325A21" w:rsidRPr="00E673FE">
        <w:t xml:space="preserve">need for gender-aware </w:t>
      </w:r>
      <w:r w:rsidR="00325A21">
        <w:t>and</w:t>
      </w:r>
      <w:r w:rsidR="00325A21" w:rsidRPr="00E673FE">
        <w:t xml:space="preserve"> gender-transformative measures</w:t>
      </w:r>
      <w:r w:rsidR="00325A21">
        <w:t xml:space="preserve"> to address existing barriers </w:t>
      </w:r>
      <w:r w:rsidR="00707319">
        <w:t xml:space="preserve">and </w:t>
      </w:r>
      <w:r w:rsidR="00707319" w:rsidRPr="00494488">
        <w:rPr>
          <w:rFonts w:eastAsia="Times New Roman" w:cs="Times New Roman"/>
          <w:kern w:val="0"/>
          <w14:ligatures w14:val="none"/>
        </w:rPr>
        <w:t>transform WFMs into more equitable spaces, enhancing both urban food security and gender justice.</w:t>
      </w:r>
    </w:p>
    <w:p w14:paraId="5DED3221" w14:textId="4FF73A5D" w:rsidR="00325A21" w:rsidRDefault="00325A21">
      <w:pPr>
        <w:rPr>
          <w:rFonts w:eastAsia="Times New Roman" w:cs="Times New Roman"/>
          <w:kern w:val="0"/>
          <w14:ligatures w14:val="none"/>
        </w:rPr>
      </w:pPr>
    </w:p>
    <w:p w14:paraId="3FD1C73D" w14:textId="77777777" w:rsidR="00325A21" w:rsidRDefault="00325A21">
      <w:pPr>
        <w:rPr>
          <w:rFonts w:eastAsia="Times New Roman" w:cs="Times New Roman"/>
          <w:kern w:val="0"/>
          <w14:ligatures w14:val="none"/>
        </w:rPr>
      </w:pPr>
    </w:p>
    <w:p w14:paraId="17313154" w14:textId="77777777" w:rsidR="00364EA2" w:rsidRPr="00E673FE" w:rsidRDefault="00364EA2">
      <w:pPr>
        <w:spacing w:before="100" w:beforeAutospacing="1" w:after="100" w:afterAutospacing="1" w:line="276" w:lineRule="auto"/>
        <w:outlineLvl w:val="2"/>
        <w:rPr>
          <w:rFonts w:eastAsia="Times New Roman" w:cs="Times New Roman"/>
          <w:b/>
          <w:bCs/>
          <w:i/>
          <w:iCs/>
          <w:kern w:val="0"/>
          <w14:ligatures w14:val="none"/>
        </w:rPr>
      </w:pPr>
    </w:p>
    <w:p w14:paraId="703D8FF6" w14:textId="59394039" w:rsidR="00364EA2" w:rsidRPr="00E673FE" w:rsidRDefault="00000000">
      <w:pPr>
        <w:pStyle w:val="ListParagraph"/>
        <w:numPr>
          <w:ilvl w:val="0"/>
          <w:numId w:val="1"/>
        </w:numPr>
        <w:spacing w:before="100" w:beforeAutospacing="1" w:after="100" w:afterAutospacing="1" w:line="276" w:lineRule="auto"/>
        <w:outlineLvl w:val="2"/>
        <w:rPr>
          <w:rFonts w:eastAsia="Times New Roman" w:cs="Times New Roman"/>
          <w:b/>
          <w:bCs/>
          <w:kern w:val="0"/>
          <w14:ligatures w14:val="none"/>
        </w:rPr>
      </w:pPr>
      <w:proofErr w:type="spellStart"/>
      <w:r w:rsidRPr="00E673FE">
        <w:rPr>
          <w:rFonts w:eastAsia="Times New Roman" w:cs="Times New Roman"/>
          <w:b/>
          <w:bCs/>
          <w:kern w:val="0"/>
          <w14:ligatures w14:val="none"/>
        </w:rPr>
        <w:lastRenderedPageBreak/>
        <w:t>ntroduction</w:t>
      </w:r>
      <w:proofErr w:type="spellEnd"/>
    </w:p>
    <w:p w14:paraId="0423C9E7" w14:textId="23A117BE" w:rsidR="00012F46" w:rsidRPr="00E673FE" w:rsidRDefault="00000000" w:rsidP="00F1710F">
      <w:pPr>
        <w:spacing w:before="0" w:after="200"/>
      </w:pPr>
      <w:r w:rsidRPr="00E673FE">
        <w:t>Food markets play a pivotal role in ensuring urban households have access to affordable, diverse, fresh, and physically available nutritious foods. In sub-Saharan Africa (SSA), particularly in low-income urban settings, many residents rely more heavily on local markets and small retail shops than on supermarkets to meet their food needs (FAO</w:t>
      </w:r>
      <w:r w:rsidR="00356099">
        <w:t xml:space="preserve"> et al.</w:t>
      </w:r>
      <w:r w:rsidRPr="00E673FE">
        <w:t xml:space="preserve">, 2020; Davies et al., 2022). However, in urban peripheries, the availability of permanent food markets and informal retail outlets remains limited. This gap has contributed to the rise and evolution of Weekly Food Markets (WFMs) as an alternative mode of food provisioning. These periodic markets, held on a weekly or bi-weekly basis, typically consist of small-scale vendors selling directly to consumers in authorized public spaces. The vendors operate on a regular schedule—often once a week—and are permitted by local authorities, usually in exchange for a nominal fee (Hiebert et al., 2017). </w:t>
      </w:r>
      <w:r w:rsidR="00012F46" w:rsidRPr="00E673FE">
        <w:t>Although some research has started to focus on the economic and logistical roles of WFMs, studies examining their social structure, particularly regarding gendered patterns of participation, mobility, and wellbeing, are still limited (Battersby &amp; Watson, 2019; Resnick, 2022).</w:t>
      </w:r>
    </w:p>
    <w:p w14:paraId="229AF4F7" w14:textId="0DAA2F24" w:rsidR="00364EA2" w:rsidRPr="00E673FE" w:rsidRDefault="00000000" w:rsidP="00F1710F">
      <w:pPr>
        <w:spacing w:before="0" w:after="200"/>
      </w:pPr>
      <w:r w:rsidRPr="00E673FE">
        <w:t xml:space="preserve">Existing literature on urban food vending underscores the prominent role of women in food markets. Female traders are </w:t>
      </w:r>
      <w:r w:rsidR="00012F46" w:rsidRPr="00E673FE">
        <w:t>documented</w:t>
      </w:r>
      <w:r w:rsidRPr="00E673FE">
        <w:t xml:space="preserve"> to dominate food vending activities across SSA cities (Davies et al., 2022; Giroux et al., 2021)</w:t>
      </w:r>
      <w:r w:rsidR="00012F46" w:rsidRPr="00E673FE">
        <w:t xml:space="preserve"> but </w:t>
      </w:r>
      <w:r w:rsidRPr="00E673FE">
        <w:t>often encounter systemic barriers such as restricted access to capital, limited control over market spaces, and inadequate infrastructure. In addition, socio-cultural constraints, including entrenched gender norms and community attitudes, further shape women’s participation and impact their economic opportunities and well-being outcomes (Kapinga</w:t>
      </w:r>
      <w:r w:rsidR="00DA7426">
        <w:t xml:space="preserve"> &amp; </w:t>
      </w:r>
      <w:r w:rsidR="00DA7426" w:rsidRPr="00E673FE">
        <w:rPr>
          <w:rFonts w:cs="Times New Roman"/>
        </w:rPr>
        <w:t>Montero</w:t>
      </w:r>
      <w:r w:rsidR="00DA7426">
        <w:t>, 2017</w:t>
      </w:r>
      <w:r w:rsidRPr="00E673FE">
        <w:t>; Davies et al., 2022).</w:t>
      </w:r>
      <w:r w:rsidR="00012F46" w:rsidRPr="00E673FE">
        <w:t xml:space="preserve"> Drawing from Kabeer’s Social Relations Approach (SRA), women’s participation in WFMs can be viewed not as an isolated indicator of presence but as embedded in social relations that influence access (rules, institutions, and norms), as well as activities (work, mobility, and remuneration) and outcomes (control and well-being). Essentially, gendered power dynamics at the household, market, and municipal levels affect how and if women gain from taking part in these markets (Kabeer, 1999; Kabeer, 2012).</w:t>
      </w:r>
    </w:p>
    <w:p w14:paraId="6BE87A57" w14:textId="3D8BEA1D" w:rsidR="00E57BF6" w:rsidRPr="00E673FE" w:rsidRDefault="00E57BF6" w:rsidP="00F1710F">
      <w:pPr>
        <w:spacing w:before="0" w:after="200"/>
      </w:pPr>
      <w:r w:rsidRPr="00E673FE">
        <w:t xml:space="preserve">More broadly, women working in urban informal and semi-formal food retail environments face a range of interconnected gender-based challenges that affect their livelihoods and wellbeing. First, mobility and time pressures are significant issues. Working in these retail spaces often requires moving between different selling points or market locations. This movement comes with high physical and time costs, which add to unpaid domestic and caregiving duties, leaving less time for rest, childcare, and other paid work (Porter et al., 2021; Ambikapathi et al., 2021). Second, these market spaces are often characterized by unequal access to resources and power, including safe space, capital, credit, storage, and municipal services. This limits women's economic independence and bargaining power in both markets and households (Kabeer, 2012; Simba et al., 2024). Third, the informal nature of many urban retail spaces means vendors lack formal protections like contracts, social security, or legal recognition. Women are especially vulnerable in this regard, as situation that increases their risk of income instability, harassment, and exclusion from formal governance </w:t>
      </w:r>
      <w:r w:rsidRPr="00E673FE">
        <w:lastRenderedPageBreak/>
        <w:t>and services (Roever &amp; Skinner, 2016; Ambikapathi et al., 2021). Fourth, market work is closely linked to social roles and wellbeing. Women often have to balance between caregiving and selling, creating a dual burden that negatively impacts both their physical and mental health, even as income from the market serves as a crucial source of financial stability (Seedat, 2021; Sinha et al., 2024). Finally, rapid urbanization and the growth of urban areas have heightened the reliance on food retail markets for livelihood while also worsening the infrastructural, regulatory, and economic challenges that disproportionately affect women vendors (Skinner, 2016; Ambikapathi et al., 2021).</w:t>
      </w:r>
    </w:p>
    <w:p w14:paraId="31CB6F27" w14:textId="727104E8" w:rsidR="00012F46" w:rsidRPr="00E673FE" w:rsidRDefault="00012F46" w:rsidP="00F82067">
      <w:r w:rsidRPr="00E673FE">
        <w:t>Recent work has begun to explore how gender norms, social reproductive responsibilities, and urban marginality affect women’s participation in everyday food vending (de Kanter et al., 2024; Porter et al., 202</w:t>
      </w:r>
      <w:r w:rsidR="00251A23">
        <w:t>1</w:t>
      </w:r>
      <w:r w:rsidRPr="00E673FE">
        <w:t>). However, there is limited research focus on WFMs</w:t>
      </w:r>
      <w:r w:rsidR="009020AA" w:rsidRPr="00E673FE">
        <w:t xml:space="preserve"> –</w:t>
      </w:r>
      <w:r w:rsidRPr="00E673FE">
        <w:t xml:space="preserve"> a market type that combines </w:t>
      </w:r>
      <w:r w:rsidR="009020AA" w:rsidRPr="00E673FE">
        <w:t xml:space="preserve">some level of </w:t>
      </w:r>
      <w:r w:rsidRPr="00E673FE">
        <w:t>municipal recognition with high mobility</w:t>
      </w:r>
      <w:r w:rsidR="009020AA" w:rsidRPr="00E673FE">
        <w:t xml:space="preserve"> – </w:t>
      </w:r>
      <w:r w:rsidRPr="00E673FE">
        <w:t>and how this shapes gender-related capabilities and constraints (Skinner &amp; Haysom, 2017; Crush &amp; Skinner, 2022). WFMs differ from permanent markets or daily street vending in a number of important ways. They operate on a fixed, once-a-week schedule per location, requiring vendors to set up and dismantle stalls each market day and move between different locations across municipalities. While this transitory nature demands distinct forms of labor and negotiation, it also intersects with gender-related challenges such as access to transport, safety concerns, and caregiving responsibilities, all of which can impact women’s income stability and independence (Porter et al., 202</w:t>
      </w:r>
      <w:r w:rsidR="008E2578">
        <w:t>1</w:t>
      </w:r>
      <w:r w:rsidRPr="00E673FE">
        <w:t xml:space="preserve">; </w:t>
      </w:r>
      <w:proofErr w:type="spellStart"/>
      <w:r w:rsidRPr="00E673FE">
        <w:t>Tacoli</w:t>
      </w:r>
      <w:proofErr w:type="spellEnd"/>
      <w:r w:rsidRPr="00E673FE">
        <w:t>, 2017).</w:t>
      </w:r>
    </w:p>
    <w:p w14:paraId="2DB47BCD" w14:textId="5EE1EB63" w:rsidR="00364EA2" w:rsidRPr="00E673FE" w:rsidRDefault="00F80EEA" w:rsidP="00F82067">
      <w:r w:rsidRPr="00E673FE">
        <w:t xml:space="preserve">From a policy perspective, focusing on women’s role in WFMs is important for three interlinked reasons. First, women vendors play an important role in local food distribution, which directly impacts household access to nutritious foods (Battersby &amp; Watson, 2019). Second, participation in markets is among the main sources of income and coping ability for many urban households, but structural barriers can limit women’s ability of turning participation into stable livelihoods (Kabeer, 2012; Chant, 2023). Third, being involved in these markets has important implications on women’s agency, bargaining power, and wellbeing, so efforts that overlook power relations may strengthen existing inequalities (Agarwal, 1997; Cornwall, 2016). Therefore, understanding these gendered dynamics is essential to informing policies that enhance women's participation, economic empowerment, and well-being in urban food systems. </w:t>
      </w:r>
    </w:p>
    <w:p w14:paraId="4055D4FD" w14:textId="77777777" w:rsidR="00F80EEA" w:rsidRPr="00E673FE" w:rsidRDefault="00F80EEA" w:rsidP="00F82067">
      <w:r w:rsidRPr="00E673FE">
        <w:t>In view of the foregoing, this study aims to: (</w:t>
      </w:r>
      <w:proofErr w:type="spellStart"/>
      <w:r w:rsidRPr="00E673FE">
        <w:t>i</w:t>
      </w:r>
      <w:proofErr w:type="spellEnd"/>
      <w:r w:rsidRPr="00E673FE">
        <w:t>) explore the forms of women’s participation in WFMs and examine the socio-cultural and institutional factors that shape their engagement; and (ii) assess the economic and well-being outcomes of women’s participation in WFMs, with a focus on income, economic security, and personal autonomy. In doing so, the paper contributes to the growing body of research on gender and urban food markets by focusing on WFMs in urban peripheries. Through an examination of women’s participation, the socio-cultural and institutional factors shaping their engagement, and the resulting economic and well-being outcomes, the paper offers new insights into how market design and governance intersect with gender. Finally, the findings aim to inform more inclusive policy frameworks that support women's income security, autonomy, and broader empowerment within evolving food retail environments.</w:t>
      </w:r>
      <w:r w:rsidR="00012F46" w:rsidRPr="00E673FE">
        <w:t xml:space="preserve"> </w:t>
      </w:r>
    </w:p>
    <w:p w14:paraId="56F738ED" w14:textId="2CCF4D10" w:rsidR="00364EA2" w:rsidRDefault="00494488" w:rsidP="00F82067">
      <w:r w:rsidRPr="00494488">
        <w:lastRenderedPageBreak/>
        <w:t>The remainder of the paper is organized as follows. Section two presents the materials and methods, including the conceptual framework, study area, study design and data sources, and analytical techniques. Section three presents the results, section four discusses the findings, and section five provides the conclusions.</w:t>
      </w:r>
    </w:p>
    <w:p w14:paraId="5F19822F" w14:textId="77777777" w:rsidR="00494488" w:rsidRPr="00E673FE" w:rsidRDefault="00494488">
      <w:pPr>
        <w:spacing w:line="276" w:lineRule="auto"/>
        <w:rPr>
          <w:rFonts w:eastAsia="Times New Roman" w:cs="Times New Roman"/>
          <w:kern w:val="0"/>
          <w14:ligatures w14:val="none"/>
        </w:rPr>
      </w:pPr>
    </w:p>
    <w:p w14:paraId="654FB3D6" w14:textId="77777777" w:rsidR="00364EA2" w:rsidRPr="00E673FE" w:rsidRDefault="00000000">
      <w:pPr>
        <w:pStyle w:val="ListParagraph"/>
        <w:numPr>
          <w:ilvl w:val="0"/>
          <w:numId w:val="1"/>
        </w:numPr>
        <w:spacing w:line="360" w:lineRule="auto"/>
        <w:rPr>
          <w:rFonts w:cs="Times New Roman"/>
          <w:b/>
          <w:bCs/>
          <w:iCs/>
        </w:rPr>
      </w:pPr>
      <w:r w:rsidRPr="00E673FE">
        <w:rPr>
          <w:rFonts w:cs="Times New Roman"/>
          <w:b/>
          <w:bCs/>
          <w:iCs/>
        </w:rPr>
        <w:t>Materials and Methods</w:t>
      </w:r>
    </w:p>
    <w:p w14:paraId="3DB30D7B" w14:textId="7096CC52" w:rsidR="00364EA2" w:rsidRPr="00E673FE" w:rsidRDefault="00000000">
      <w:pPr>
        <w:pStyle w:val="ListParagraph"/>
        <w:numPr>
          <w:ilvl w:val="1"/>
          <w:numId w:val="2"/>
        </w:numPr>
        <w:spacing w:line="360" w:lineRule="auto"/>
        <w:rPr>
          <w:rFonts w:cs="Times New Roman"/>
          <w:b/>
          <w:bCs/>
          <w:iCs/>
        </w:rPr>
      </w:pPr>
      <w:r w:rsidRPr="00E673FE">
        <w:rPr>
          <w:rFonts w:cs="Times New Roman"/>
          <w:b/>
          <w:i/>
          <w:iCs/>
        </w:rPr>
        <w:t xml:space="preserve">Conceptual </w:t>
      </w:r>
      <w:r w:rsidR="00E57BF6" w:rsidRPr="00E673FE">
        <w:rPr>
          <w:rFonts w:cs="Times New Roman"/>
          <w:b/>
          <w:i/>
          <w:iCs/>
        </w:rPr>
        <w:t>f</w:t>
      </w:r>
      <w:r w:rsidRPr="00E673FE">
        <w:rPr>
          <w:rFonts w:cs="Times New Roman"/>
          <w:b/>
          <w:i/>
          <w:iCs/>
        </w:rPr>
        <w:t>ramework</w:t>
      </w:r>
    </w:p>
    <w:p w14:paraId="6196ECF5" w14:textId="58DBC13A" w:rsidR="00F80EEA" w:rsidRPr="00E673FE" w:rsidRDefault="00F80EEA" w:rsidP="00F82067">
      <w:r w:rsidRPr="00E673FE">
        <w:t>This study uses SRA by Kabeer (1994) as clear perspective for looking at gender inequalities in access to resources, division of responsibilities, and distribution of power. It is especially useful in situations where understanding gender dynamics can lead to meaningful policies and improve women's empowerment. The approach focuses on five connected ideas: development as human well-being, social relations, institutional analysis, institutional gender policies, and identifying the immediate, underlying, and structural causes of inequality (Kabeer, 1994; March et al., 1999). Further, the relevance of the SRA stems from the fact that this study links human well-being, social relations, and institutional contexts: assessing women’s participation in WFMs in Dar es Salaam’s peripheral areas as a livelihood strategy, examining how gender roles shape women’s participation, and exploring how formal regulations, informal rules, and socio-cultural norms jointly affect women’s opportunities, constraints, and power.</w:t>
      </w:r>
    </w:p>
    <w:p w14:paraId="43880FFD" w14:textId="6E3B19D2" w:rsidR="00F80EEA" w:rsidRPr="00E673FE" w:rsidRDefault="00F80EEA" w:rsidP="00F82067">
      <w:r w:rsidRPr="00E673FE">
        <w:t xml:space="preserve">To interrogate women’s participation in WFMs and its effects on economic and human well-being, we use the four SRA concepts—development as well-being, social relations, institutional analysis, and institutional gender policies. Figure 1 shows this conceptual framing, demonstrating how women’s participation in WFMs is connected to overlapping social, institutional, and policy contexts. Social relationships, such as norms and networks, interact with institutional structures and gender-specific policies to influence participation in market activities like vending and leadership. These interactions affect economic results, like income, food security, and profits, as well as human well-being, which includes personal freedom and agency. Therefore, the model places individual market participation within larger social and institutional frameworks. Finally, the SRA helps to </w:t>
      </w:r>
      <w:r w:rsidR="009020AA" w:rsidRPr="00E673FE">
        <w:t>analyze</w:t>
      </w:r>
      <w:r w:rsidRPr="00E673FE">
        <w:t xml:space="preserve"> who does what (activities), who benefits (benefits), and who has power (decisions) at household, market, and municipal levels. It connects individual well-being to broader patterns of inequality (Kabeer, 1999; Kabeer, 2012; </w:t>
      </w:r>
      <w:proofErr w:type="spellStart"/>
      <w:r w:rsidRPr="00E673FE">
        <w:t>Resurrección</w:t>
      </w:r>
      <w:proofErr w:type="spellEnd"/>
      <w:r w:rsidRPr="00E673FE">
        <w:t xml:space="preserve"> &amp; Bee, 2021).</w:t>
      </w:r>
    </w:p>
    <w:p w14:paraId="5FB452E3" w14:textId="19708CB9" w:rsidR="00364EA2" w:rsidRPr="00E673FE" w:rsidRDefault="00364EA2">
      <w:pPr>
        <w:rPr>
          <w:lang w:eastAsia="zh-CN"/>
        </w:rPr>
      </w:pPr>
    </w:p>
    <w:p w14:paraId="23DCA83B" w14:textId="1F5C0E08" w:rsidR="00364EA2" w:rsidRPr="00E673FE" w:rsidRDefault="00F80EEA">
      <w:pPr>
        <w:jc w:val="center"/>
        <w:rPr>
          <w:lang w:eastAsia="zh-CN"/>
        </w:rPr>
      </w:pPr>
      <w:r w:rsidRPr="00E673FE">
        <w:rPr>
          <w:noProof/>
          <w14:ligatures w14:val="none"/>
        </w:rPr>
        <w:lastRenderedPageBreak/>
        <w:drawing>
          <wp:inline distT="0" distB="0" distL="0" distR="0" wp14:anchorId="29931230" wp14:editId="60B0EF4F">
            <wp:extent cx="5731510" cy="1964690"/>
            <wp:effectExtent l="0" t="0" r="2540" b="0"/>
            <wp:docPr id="6158814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881416" name=""/>
                    <pic:cNvPicPr/>
                  </pic:nvPicPr>
                  <pic:blipFill>
                    <a:blip r:embed="rId8"/>
                    <a:stretch>
                      <a:fillRect/>
                    </a:stretch>
                  </pic:blipFill>
                  <pic:spPr>
                    <a:xfrm>
                      <a:off x="0" y="0"/>
                      <a:ext cx="5731510" cy="1964690"/>
                    </a:xfrm>
                    <a:prstGeom prst="rect">
                      <a:avLst/>
                    </a:prstGeom>
                  </pic:spPr>
                </pic:pic>
              </a:graphicData>
            </a:graphic>
          </wp:inline>
        </w:drawing>
      </w:r>
    </w:p>
    <w:p w14:paraId="1041DE3B" w14:textId="19E7C715" w:rsidR="00364EA2" w:rsidRPr="00E673FE" w:rsidRDefault="00000000" w:rsidP="00F80EEA">
      <w:pPr>
        <w:rPr>
          <w:sz w:val="22"/>
          <w:szCs w:val="22"/>
        </w:rPr>
      </w:pPr>
      <w:r w:rsidRPr="00E673FE">
        <w:rPr>
          <w:b/>
          <w:bCs/>
          <w:sz w:val="22"/>
          <w:szCs w:val="22"/>
        </w:rPr>
        <w:t>Figure 1</w:t>
      </w:r>
      <w:r w:rsidR="00E57BF6" w:rsidRPr="00E673FE">
        <w:rPr>
          <w:sz w:val="22"/>
          <w:szCs w:val="22"/>
        </w:rPr>
        <w:t>.</w:t>
      </w:r>
      <w:r w:rsidRPr="00E673FE">
        <w:rPr>
          <w:sz w:val="22"/>
          <w:szCs w:val="22"/>
        </w:rPr>
        <w:t xml:space="preserve"> </w:t>
      </w:r>
      <w:r w:rsidR="00F80EEA" w:rsidRPr="00E673FE">
        <w:rPr>
          <w:sz w:val="22"/>
          <w:szCs w:val="22"/>
        </w:rPr>
        <w:t>Conceptual model for examining women’s participation in WFMs and associated outcomes within the SRA framework. Adapted from Kabeer (1994, 2005).</w:t>
      </w:r>
    </w:p>
    <w:p w14:paraId="12981DC7" w14:textId="77777777" w:rsidR="00F80EEA" w:rsidRPr="00E673FE" w:rsidRDefault="00F80EEA" w:rsidP="00F80EEA">
      <w:pPr>
        <w:rPr>
          <w:rFonts w:cs="Times New Roman"/>
          <w:bCs/>
          <w:sz w:val="22"/>
          <w:szCs w:val="22"/>
        </w:rPr>
      </w:pPr>
    </w:p>
    <w:p w14:paraId="49F724EC" w14:textId="6A10310A" w:rsidR="00364EA2" w:rsidRPr="00E673FE" w:rsidRDefault="00E57BF6">
      <w:pPr>
        <w:pStyle w:val="ListParagraph"/>
        <w:numPr>
          <w:ilvl w:val="1"/>
          <w:numId w:val="2"/>
        </w:numPr>
        <w:spacing w:line="360" w:lineRule="auto"/>
        <w:rPr>
          <w:rFonts w:cs="Times New Roman"/>
          <w:b/>
          <w:i/>
          <w:iCs/>
        </w:rPr>
      </w:pPr>
      <w:r w:rsidRPr="00E673FE">
        <w:rPr>
          <w:rFonts w:cs="Times New Roman"/>
          <w:b/>
          <w:i/>
          <w:iCs/>
        </w:rPr>
        <w:t xml:space="preserve"> Study area </w:t>
      </w:r>
    </w:p>
    <w:p w14:paraId="29504103" w14:textId="471DDFAD" w:rsidR="00364EA2" w:rsidRPr="00E673FE" w:rsidRDefault="00E57BF6" w:rsidP="00F82067">
      <w:r w:rsidRPr="00E673FE">
        <w:t xml:space="preserve">Dar es Salaam, Tanzania’s commercial capital and one of Africa’s fastest-growing metropolises, provides an appropriate case for examining women’s participation in informal food markets (Figure 2). The city spans 1,393 km² across five municipalities - Kinondoni, </w:t>
      </w:r>
      <w:proofErr w:type="spellStart"/>
      <w:r w:rsidRPr="00E673FE">
        <w:t>Ubungo</w:t>
      </w:r>
      <w:proofErr w:type="spellEnd"/>
      <w:r w:rsidRPr="00E673FE">
        <w:t xml:space="preserve">, </w:t>
      </w:r>
      <w:proofErr w:type="spellStart"/>
      <w:r w:rsidRPr="00E673FE">
        <w:t>Kigamboni</w:t>
      </w:r>
      <w:proofErr w:type="spellEnd"/>
      <w:r w:rsidRPr="00E673FE">
        <w:t>, Ilala, and Temeke - housing approximately 5.3 million residents (NBS, 202</w:t>
      </w:r>
      <w:r w:rsidR="00421416">
        <w:t>3</w:t>
      </w:r>
      <w:r w:rsidRPr="00E673FE">
        <w:t>). Dar es Salaam presents an ideal case study due to two interrelated factors: its explosive peri-urban growth characterized by informal settlements and inadequate infrastructure (</w:t>
      </w:r>
      <w:proofErr w:type="spellStart"/>
      <w:r w:rsidRPr="00E673FE">
        <w:t>Lupala</w:t>
      </w:r>
      <w:proofErr w:type="spellEnd"/>
      <w:r w:rsidRPr="00E673FE">
        <w:t>, 2021), where 37% of the city's population now resides according to 2022 census data; and its representative nature as a prototype for urbanization patterns seen across fast-growing sub-Saharan African cities. These characteristics make the city particularly relevant for investigating informal food markets and their gendered dimensions.</w:t>
      </w:r>
    </w:p>
    <w:p w14:paraId="06DACA50" w14:textId="77777777" w:rsidR="00364EA2" w:rsidRPr="00E673FE" w:rsidRDefault="00364EA2"/>
    <w:p w14:paraId="129017B6" w14:textId="32742448" w:rsidR="00364EA2" w:rsidRPr="00E673FE" w:rsidRDefault="00E57BF6" w:rsidP="00E57BF6">
      <w:pPr>
        <w:jc w:val="center"/>
        <w:rPr>
          <w:rFonts w:cs="Times New Roman"/>
        </w:rPr>
      </w:pPr>
      <w:r w:rsidRPr="00E673FE">
        <w:rPr>
          <w:noProof/>
        </w:rPr>
        <w:lastRenderedPageBreak/>
        <w:drawing>
          <wp:inline distT="0" distB="0" distL="0" distR="0" wp14:anchorId="2CA0A244" wp14:editId="687A6190">
            <wp:extent cx="3787140" cy="5342890"/>
            <wp:effectExtent l="19050" t="19050" r="22860" b="10160"/>
            <wp:docPr id="111986162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3385" t="6781" r="3150"/>
                    <a:stretch/>
                  </pic:blipFill>
                  <pic:spPr bwMode="auto">
                    <a:xfrm>
                      <a:off x="0" y="0"/>
                      <a:ext cx="3787140" cy="5342890"/>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3CEA60E2" w14:textId="18A0E596" w:rsidR="00364EA2" w:rsidRPr="00E673FE" w:rsidRDefault="00000000">
      <w:pPr>
        <w:spacing w:line="360" w:lineRule="auto"/>
        <w:rPr>
          <w:rFonts w:cs="Times New Roman"/>
        </w:rPr>
      </w:pPr>
      <w:r w:rsidRPr="00E673FE">
        <w:rPr>
          <w:rFonts w:cs="Times New Roman"/>
          <w:b/>
          <w:bCs/>
        </w:rPr>
        <w:t xml:space="preserve">Figure </w:t>
      </w:r>
      <w:r w:rsidR="00E57BF6" w:rsidRPr="00E673FE">
        <w:rPr>
          <w:rFonts w:cs="Times New Roman"/>
          <w:b/>
          <w:bCs/>
        </w:rPr>
        <w:t>2.</w:t>
      </w:r>
      <w:r w:rsidR="00E57BF6" w:rsidRPr="00E673FE">
        <w:rPr>
          <w:rFonts w:cs="Times New Roman"/>
        </w:rPr>
        <w:t xml:space="preserve"> </w:t>
      </w:r>
      <w:r w:rsidRPr="00E673FE">
        <w:rPr>
          <w:rFonts w:cs="Times New Roman"/>
        </w:rPr>
        <w:t>Study area (WFMs in five municipalities of Dar es Salaam).</w:t>
      </w:r>
    </w:p>
    <w:p w14:paraId="069387AF" w14:textId="77777777" w:rsidR="00364EA2" w:rsidRPr="00E673FE" w:rsidRDefault="00000000" w:rsidP="00F82067">
      <w:r w:rsidRPr="00E673FE">
        <w:t xml:space="preserve">As Dar es Salaam undergoes rapid urban expansion, accompanied by rising demand for accessible food retail infrastructure, city authorities have responded by permitting food traders to operate on a weekly basis in designated open spaces located near residential areas in peripheral wards. This policy shift has led to the emergence of approximately 31 WFMs across the city's five municipalities. These markets operate on specific days of the week, varying by municipality, and serve as critical nodes for food access and informal trade in the city’s urban peripheries. </w:t>
      </w:r>
    </w:p>
    <w:p w14:paraId="64C90649" w14:textId="77777777" w:rsidR="00364EA2" w:rsidRPr="00E673FE" w:rsidRDefault="00364EA2"/>
    <w:p w14:paraId="0F0303D3" w14:textId="7407CB53" w:rsidR="00364EA2" w:rsidRPr="00E673FE" w:rsidRDefault="00E57BF6">
      <w:pPr>
        <w:pStyle w:val="ListParagraph"/>
        <w:numPr>
          <w:ilvl w:val="1"/>
          <w:numId w:val="2"/>
        </w:numPr>
        <w:spacing w:after="0" w:line="360" w:lineRule="auto"/>
        <w:rPr>
          <w:b/>
          <w:i/>
          <w:iCs/>
        </w:rPr>
      </w:pPr>
      <w:r w:rsidRPr="00E673FE">
        <w:rPr>
          <w:b/>
          <w:i/>
          <w:iCs/>
        </w:rPr>
        <w:t xml:space="preserve"> Study design and data sources</w:t>
      </w:r>
    </w:p>
    <w:p w14:paraId="1BF5823E" w14:textId="77777777" w:rsidR="005B487C" w:rsidRDefault="00E57BF6" w:rsidP="00F82067">
      <w:r w:rsidRPr="00E673FE">
        <w:t xml:space="preserve">A mixed-methods design was adopted to integrate quantitative measures with qualitative inquiry, enabling both a systematic assessment and a deeper understanding of gendered participation in WFMs. The quantitative component provided measurable patterns of participation, and the extent of male and female involvement in selling in WFMs. The </w:t>
      </w:r>
      <w:r w:rsidRPr="00E673FE">
        <w:lastRenderedPageBreak/>
        <w:t xml:space="preserve">qualitative data offered contextual insights into gender dynamics, socio-cultural norms, institutional factors, and participation outcomes. For the quantitative survey, a mixed sampling strategy combining probability and non-probability techniques was employed to ensure adequate representation across Dar es Salaam’s five municipalities. All 31 WFMs in Dar es Salaam’s five municipalities were purposively selected, and sample size was determined using recommendations from Memon et al. (2020), Green (1991), and Cochran (1977), given the informal nature of WFMs and the absence of a known sampling frame for vendors and buyers, while also considering time and budget constraints. In total, 381 vendors and 506 buyers were surveyed. </w:t>
      </w:r>
    </w:p>
    <w:p w14:paraId="04122586" w14:textId="08FF5E3C" w:rsidR="005B487C" w:rsidRDefault="00E57BF6" w:rsidP="00F82067">
      <w:r w:rsidRPr="00E673FE">
        <w:t xml:space="preserve">For the qualitative component, purposive sampling identified diverse participants, resulting in five Focus Group Discussions (FGDs)—one per municipality—and 15 Key Informant Interviews (KIIs) with market leaders, local government officials, and other WFM stakeholders. </w:t>
      </w:r>
      <w:r w:rsidR="005B487C" w:rsidRPr="005B487C">
        <w:t xml:space="preserve">Focus group discussions (FGDs) involved both male and female participants (Table 1), reflecting the everyday interactions of traders in the market. Mixed-gender FGDs are particularly useful for revealing social dynamics and challenging gender stereotypes (Tawana &amp; </w:t>
      </w:r>
      <w:proofErr w:type="spellStart"/>
      <w:r w:rsidR="005B487C" w:rsidRPr="005B487C">
        <w:t>Romm</w:t>
      </w:r>
      <w:proofErr w:type="spellEnd"/>
      <w:r w:rsidR="005B487C" w:rsidRPr="005B487C">
        <w:t>, 2023).</w:t>
      </w:r>
      <w:r w:rsidR="005B487C">
        <w:t xml:space="preserve"> </w:t>
      </w:r>
      <w:r w:rsidR="005B487C" w:rsidRPr="005B487C">
        <w:t xml:space="preserve">Since the topics were not sensitive, the groups were mixed, allowing researchers to observe interactions, power dynamics, and how men and women negotiate and discuss issues together. This approach also enabled comparison of perspectives across genders and identification of agreements or differences. </w:t>
      </w:r>
    </w:p>
    <w:p w14:paraId="513EC261" w14:textId="5ABC478F" w:rsidR="00364EA2" w:rsidRPr="00E673FE" w:rsidRDefault="00E57BF6" w:rsidP="00F82067">
      <w:r w:rsidRPr="00E673FE">
        <w:t>The research team followed a semi-structured guide (see Annex 1), covering themes such as participation, access to market spaces, decision-making, and well-being outcomes. KIIs were conducted with WFM leaders, municipal officers in urban planning, trade, and business departments, as well as relevant national-level officials. These interviews provided institutional insights into the governance and planning of WFMs, and the extent of gender inclusion in market processes.</w:t>
      </w:r>
    </w:p>
    <w:p w14:paraId="6FB3E46C" w14:textId="77777777" w:rsidR="00364EA2" w:rsidRPr="00E673FE" w:rsidRDefault="00000000">
      <w:r w:rsidRPr="00E673FE">
        <w:t>Table 1. WFMs FGDs composition across the five municipalities</w:t>
      </w:r>
    </w:p>
    <w:tbl>
      <w:tblPr>
        <w:tblStyle w:val="TableGrid"/>
        <w:tblW w:w="5000" w:type="pct"/>
        <w:tblLook w:val="04A0" w:firstRow="1" w:lastRow="0" w:firstColumn="1" w:lastColumn="0" w:noHBand="0" w:noVBand="1"/>
      </w:tblPr>
      <w:tblGrid>
        <w:gridCol w:w="639"/>
        <w:gridCol w:w="1646"/>
        <w:gridCol w:w="2075"/>
        <w:gridCol w:w="2797"/>
        <w:gridCol w:w="1859"/>
      </w:tblGrid>
      <w:tr w:rsidR="00364EA2" w:rsidRPr="00E673FE" w14:paraId="7A9C81FB" w14:textId="77777777">
        <w:tc>
          <w:tcPr>
            <w:tcW w:w="354" w:type="pct"/>
          </w:tcPr>
          <w:p w14:paraId="634EE444" w14:textId="77777777" w:rsidR="00364EA2" w:rsidRPr="00E673FE" w:rsidRDefault="00000000">
            <w:pPr>
              <w:spacing w:before="0" w:after="0" w:line="276" w:lineRule="auto"/>
              <w:jc w:val="center"/>
              <w:rPr>
                <w:rFonts w:eastAsia="Times New Roman" w:cs="Times New Roman"/>
                <w:b/>
                <w:bCs/>
                <w:kern w:val="0"/>
                <w:sz w:val="22"/>
                <w:szCs w:val="22"/>
                <w:lang w:eastAsia="zh-CN"/>
                <w14:ligatures w14:val="none"/>
              </w:rPr>
            </w:pPr>
            <w:r w:rsidRPr="00E673FE">
              <w:rPr>
                <w:rFonts w:eastAsia="Times New Roman" w:cs="Times New Roman"/>
                <w:b/>
                <w:bCs/>
                <w:kern w:val="0"/>
                <w:sz w:val="22"/>
                <w:szCs w:val="22"/>
                <w:lang w:eastAsia="zh-CN"/>
                <w14:ligatures w14:val="none"/>
              </w:rPr>
              <w:t>No.</w:t>
            </w:r>
          </w:p>
        </w:tc>
        <w:tc>
          <w:tcPr>
            <w:tcW w:w="913" w:type="pct"/>
          </w:tcPr>
          <w:p w14:paraId="6497E73B" w14:textId="77777777" w:rsidR="00364EA2" w:rsidRPr="00E673FE" w:rsidRDefault="00000000">
            <w:pPr>
              <w:spacing w:before="0" w:after="0" w:line="276" w:lineRule="auto"/>
              <w:jc w:val="center"/>
              <w:rPr>
                <w:rFonts w:eastAsia="Times New Roman" w:cs="Times New Roman"/>
                <w:b/>
                <w:bCs/>
                <w:kern w:val="0"/>
                <w:sz w:val="22"/>
                <w:szCs w:val="22"/>
                <w:lang w:eastAsia="zh-CN"/>
                <w14:ligatures w14:val="none"/>
              </w:rPr>
            </w:pPr>
            <w:r w:rsidRPr="00E673FE">
              <w:rPr>
                <w:rFonts w:eastAsia="Times New Roman" w:cs="Times New Roman"/>
                <w:b/>
                <w:bCs/>
                <w:kern w:val="0"/>
                <w:sz w:val="22"/>
                <w:szCs w:val="22"/>
                <w:lang w:eastAsia="zh-CN"/>
                <w14:ligatures w14:val="none"/>
              </w:rPr>
              <w:t>Municipality</w:t>
            </w:r>
          </w:p>
        </w:tc>
        <w:tc>
          <w:tcPr>
            <w:tcW w:w="1151" w:type="pct"/>
          </w:tcPr>
          <w:p w14:paraId="328EBD2B" w14:textId="77777777" w:rsidR="00364EA2" w:rsidRPr="00E673FE" w:rsidRDefault="00000000">
            <w:pPr>
              <w:spacing w:before="0" w:after="0" w:line="276" w:lineRule="auto"/>
              <w:jc w:val="center"/>
              <w:rPr>
                <w:rFonts w:eastAsia="Times New Roman" w:cs="Times New Roman"/>
                <w:b/>
                <w:bCs/>
                <w:kern w:val="0"/>
                <w:sz w:val="22"/>
                <w:szCs w:val="22"/>
                <w:lang w:eastAsia="zh-CN"/>
                <w14:ligatures w14:val="none"/>
              </w:rPr>
            </w:pPr>
            <w:r w:rsidRPr="00E673FE">
              <w:rPr>
                <w:rFonts w:eastAsia="Times New Roman" w:cs="Times New Roman"/>
                <w:b/>
                <w:bCs/>
                <w:kern w:val="0"/>
                <w:sz w:val="22"/>
                <w:szCs w:val="22"/>
                <w:lang w:eastAsia="zh-CN"/>
                <w14:ligatures w14:val="none"/>
              </w:rPr>
              <w:t>Name of WFM</w:t>
            </w:r>
          </w:p>
        </w:tc>
        <w:tc>
          <w:tcPr>
            <w:tcW w:w="1551" w:type="pct"/>
          </w:tcPr>
          <w:p w14:paraId="28FBE254" w14:textId="77777777" w:rsidR="00364EA2" w:rsidRPr="00E673FE" w:rsidRDefault="00000000">
            <w:pPr>
              <w:spacing w:before="0" w:after="0" w:line="276" w:lineRule="auto"/>
              <w:jc w:val="center"/>
              <w:rPr>
                <w:rFonts w:eastAsia="Times New Roman" w:cs="Times New Roman"/>
                <w:b/>
                <w:bCs/>
                <w:kern w:val="0"/>
                <w:sz w:val="22"/>
                <w:szCs w:val="22"/>
                <w:lang w:eastAsia="zh-CN"/>
                <w14:ligatures w14:val="none"/>
              </w:rPr>
            </w:pPr>
            <w:r w:rsidRPr="00E673FE">
              <w:rPr>
                <w:rFonts w:eastAsia="Times New Roman" w:cs="Times New Roman"/>
                <w:b/>
                <w:bCs/>
                <w:kern w:val="0"/>
                <w:sz w:val="22"/>
                <w:szCs w:val="22"/>
                <w:lang w:eastAsia="zh-CN"/>
                <w14:ligatures w14:val="none"/>
              </w:rPr>
              <w:t>Number of Participants</w:t>
            </w:r>
          </w:p>
        </w:tc>
        <w:tc>
          <w:tcPr>
            <w:tcW w:w="1031" w:type="pct"/>
          </w:tcPr>
          <w:p w14:paraId="622683D6" w14:textId="77777777" w:rsidR="00364EA2" w:rsidRPr="00E673FE" w:rsidRDefault="00000000">
            <w:pPr>
              <w:spacing w:before="0" w:after="0" w:line="276" w:lineRule="auto"/>
              <w:jc w:val="center"/>
              <w:rPr>
                <w:rFonts w:eastAsia="Times New Roman" w:cs="Times New Roman"/>
                <w:b/>
                <w:bCs/>
                <w:kern w:val="0"/>
                <w:sz w:val="22"/>
                <w:szCs w:val="22"/>
                <w:lang w:eastAsia="zh-CN"/>
                <w14:ligatures w14:val="none"/>
              </w:rPr>
            </w:pPr>
            <w:r w:rsidRPr="00E673FE">
              <w:rPr>
                <w:rFonts w:eastAsia="Times New Roman" w:cs="Times New Roman"/>
                <w:b/>
                <w:bCs/>
                <w:kern w:val="0"/>
                <w:sz w:val="22"/>
                <w:szCs w:val="22"/>
                <w:lang w:eastAsia="zh-CN"/>
                <w14:ligatures w14:val="none"/>
              </w:rPr>
              <w:t>FGD Date</w:t>
            </w:r>
          </w:p>
        </w:tc>
      </w:tr>
      <w:tr w:rsidR="00364EA2" w:rsidRPr="00E673FE" w14:paraId="1739864D" w14:textId="77777777">
        <w:tc>
          <w:tcPr>
            <w:tcW w:w="354" w:type="pct"/>
          </w:tcPr>
          <w:p w14:paraId="613360D5" w14:textId="77777777" w:rsidR="00364EA2" w:rsidRPr="00E673FE" w:rsidRDefault="00000000">
            <w:pPr>
              <w:spacing w:before="0" w:after="0" w:line="276" w:lineRule="auto"/>
              <w:rPr>
                <w:rFonts w:eastAsia="Times New Roman" w:cs="Times New Roman"/>
                <w:kern w:val="0"/>
                <w:sz w:val="22"/>
                <w:szCs w:val="22"/>
                <w:lang w:eastAsia="zh-CN"/>
                <w14:ligatures w14:val="none"/>
              </w:rPr>
            </w:pPr>
            <w:r w:rsidRPr="00E673FE">
              <w:rPr>
                <w:rFonts w:eastAsia="Times New Roman" w:cs="Times New Roman"/>
                <w:kern w:val="0"/>
                <w:sz w:val="22"/>
                <w:szCs w:val="22"/>
                <w:lang w:eastAsia="zh-CN"/>
                <w14:ligatures w14:val="none"/>
              </w:rPr>
              <w:t>1</w:t>
            </w:r>
          </w:p>
        </w:tc>
        <w:tc>
          <w:tcPr>
            <w:tcW w:w="913" w:type="pct"/>
          </w:tcPr>
          <w:p w14:paraId="0B16C5E4" w14:textId="77777777" w:rsidR="00364EA2" w:rsidRPr="00E673FE" w:rsidRDefault="00000000">
            <w:pPr>
              <w:spacing w:before="0" w:after="0" w:line="276" w:lineRule="auto"/>
              <w:rPr>
                <w:rFonts w:eastAsia="Times New Roman" w:cs="Times New Roman"/>
                <w:kern w:val="0"/>
                <w:sz w:val="22"/>
                <w:szCs w:val="22"/>
                <w:lang w:eastAsia="zh-CN"/>
                <w14:ligatures w14:val="none"/>
              </w:rPr>
            </w:pPr>
            <w:r w:rsidRPr="00E673FE">
              <w:rPr>
                <w:rFonts w:eastAsia="Times New Roman" w:cs="Times New Roman"/>
                <w:kern w:val="0"/>
                <w:sz w:val="22"/>
                <w:szCs w:val="22"/>
                <w:lang w:eastAsia="zh-CN"/>
                <w14:ligatures w14:val="none"/>
              </w:rPr>
              <w:t>Ilala</w:t>
            </w:r>
          </w:p>
        </w:tc>
        <w:tc>
          <w:tcPr>
            <w:tcW w:w="1151" w:type="pct"/>
          </w:tcPr>
          <w:p w14:paraId="03B26EA2" w14:textId="77777777" w:rsidR="00364EA2" w:rsidRPr="00E673FE" w:rsidRDefault="00000000">
            <w:pPr>
              <w:spacing w:before="0" w:after="0" w:line="276" w:lineRule="auto"/>
              <w:rPr>
                <w:rFonts w:eastAsia="Times New Roman" w:cs="Times New Roman"/>
                <w:kern w:val="0"/>
                <w:sz w:val="22"/>
                <w:szCs w:val="22"/>
                <w:lang w:eastAsia="zh-CN"/>
                <w14:ligatures w14:val="none"/>
              </w:rPr>
            </w:pPr>
            <w:r w:rsidRPr="00E673FE">
              <w:rPr>
                <w:rFonts w:eastAsia="Times New Roman" w:cs="Times New Roman"/>
                <w:kern w:val="0"/>
                <w:sz w:val="22"/>
                <w:szCs w:val="22"/>
                <w:lang w:eastAsia="zh-CN"/>
                <w14:ligatures w14:val="none"/>
              </w:rPr>
              <w:t>Tabata-</w:t>
            </w:r>
            <w:proofErr w:type="spellStart"/>
            <w:r w:rsidRPr="00E673FE">
              <w:rPr>
                <w:rFonts w:eastAsia="Times New Roman" w:cs="Times New Roman"/>
                <w:kern w:val="0"/>
                <w:sz w:val="22"/>
                <w:szCs w:val="22"/>
                <w:lang w:eastAsia="zh-CN"/>
                <w14:ligatures w14:val="none"/>
              </w:rPr>
              <w:t>Kimanga</w:t>
            </w:r>
            <w:proofErr w:type="spellEnd"/>
          </w:p>
        </w:tc>
        <w:tc>
          <w:tcPr>
            <w:tcW w:w="1551" w:type="pct"/>
          </w:tcPr>
          <w:p w14:paraId="6F4AF62B" w14:textId="77777777" w:rsidR="00364EA2" w:rsidRPr="00E673FE" w:rsidRDefault="00000000">
            <w:pPr>
              <w:spacing w:before="0" w:after="0" w:line="276" w:lineRule="auto"/>
              <w:rPr>
                <w:rFonts w:eastAsia="Times New Roman" w:cs="Times New Roman"/>
                <w:kern w:val="0"/>
                <w:sz w:val="22"/>
                <w:szCs w:val="22"/>
                <w:lang w:eastAsia="zh-CN"/>
                <w14:ligatures w14:val="none"/>
              </w:rPr>
            </w:pPr>
            <w:r w:rsidRPr="00E673FE">
              <w:rPr>
                <w:rFonts w:eastAsia="Times New Roman" w:cs="Times New Roman"/>
                <w:kern w:val="0"/>
                <w:sz w:val="22"/>
                <w:szCs w:val="22"/>
                <w:lang w:eastAsia="zh-CN"/>
                <w14:ligatures w14:val="none"/>
              </w:rPr>
              <w:t>5 (3 male, 3 female)</w:t>
            </w:r>
          </w:p>
        </w:tc>
        <w:tc>
          <w:tcPr>
            <w:tcW w:w="1031" w:type="pct"/>
          </w:tcPr>
          <w:p w14:paraId="29D2CE1A" w14:textId="77777777" w:rsidR="00364EA2" w:rsidRPr="00E673FE" w:rsidRDefault="00000000">
            <w:pPr>
              <w:spacing w:before="0" w:after="0" w:line="276" w:lineRule="auto"/>
              <w:rPr>
                <w:rFonts w:eastAsia="Times New Roman" w:cs="Times New Roman"/>
                <w:kern w:val="0"/>
                <w:sz w:val="22"/>
                <w:szCs w:val="22"/>
                <w:lang w:eastAsia="zh-CN"/>
                <w14:ligatures w14:val="none"/>
              </w:rPr>
            </w:pPr>
            <w:r w:rsidRPr="00E673FE">
              <w:rPr>
                <w:rFonts w:eastAsia="Times New Roman" w:cs="Times New Roman"/>
                <w:kern w:val="0"/>
                <w:sz w:val="22"/>
                <w:szCs w:val="22"/>
                <w:lang w:eastAsia="zh-CN"/>
                <w14:ligatures w14:val="none"/>
              </w:rPr>
              <w:t>March 12, 2025</w:t>
            </w:r>
          </w:p>
        </w:tc>
      </w:tr>
      <w:tr w:rsidR="00364EA2" w:rsidRPr="00E673FE" w14:paraId="4C74CD7C" w14:textId="77777777">
        <w:tc>
          <w:tcPr>
            <w:tcW w:w="354" w:type="pct"/>
          </w:tcPr>
          <w:p w14:paraId="14E1FD0F" w14:textId="77777777" w:rsidR="00364EA2" w:rsidRPr="00E673FE" w:rsidRDefault="00000000">
            <w:pPr>
              <w:spacing w:before="0" w:after="0" w:line="276" w:lineRule="auto"/>
              <w:rPr>
                <w:rFonts w:eastAsia="Times New Roman" w:cs="Times New Roman"/>
                <w:kern w:val="0"/>
                <w:sz w:val="22"/>
                <w:szCs w:val="22"/>
                <w:lang w:eastAsia="zh-CN"/>
                <w14:ligatures w14:val="none"/>
              </w:rPr>
            </w:pPr>
            <w:r w:rsidRPr="00E673FE">
              <w:rPr>
                <w:rFonts w:eastAsia="Times New Roman" w:cs="Times New Roman"/>
                <w:kern w:val="0"/>
                <w:sz w:val="22"/>
                <w:szCs w:val="22"/>
                <w:lang w:eastAsia="zh-CN"/>
                <w14:ligatures w14:val="none"/>
              </w:rPr>
              <w:t>2</w:t>
            </w:r>
          </w:p>
        </w:tc>
        <w:tc>
          <w:tcPr>
            <w:tcW w:w="913" w:type="pct"/>
          </w:tcPr>
          <w:p w14:paraId="3CB5EE0F" w14:textId="77777777" w:rsidR="00364EA2" w:rsidRPr="00E673FE" w:rsidRDefault="00000000">
            <w:pPr>
              <w:spacing w:before="0" w:after="0" w:line="276" w:lineRule="auto"/>
              <w:rPr>
                <w:rFonts w:eastAsia="Times New Roman" w:cs="Times New Roman"/>
                <w:kern w:val="0"/>
                <w:sz w:val="22"/>
                <w:szCs w:val="22"/>
                <w:lang w:eastAsia="zh-CN"/>
                <w14:ligatures w14:val="none"/>
              </w:rPr>
            </w:pPr>
            <w:proofErr w:type="spellStart"/>
            <w:r w:rsidRPr="00E673FE">
              <w:rPr>
                <w:rFonts w:eastAsia="Times New Roman" w:cs="Times New Roman"/>
                <w:kern w:val="0"/>
                <w:sz w:val="22"/>
                <w:szCs w:val="22"/>
                <w:lang w:eastAsia="zh-CN"/>
                <w14:ligatures w14:val="none"/>
              </w:rPr>
              <w:t>Kigamboni</w:t>
            </w:r>
            <w:proofErr w:type="spellEnd"/>
          </w:p>
        </w:tc>
        <w:tc>
          <w:tcPr>
            <w:tcW w:w="1151" w:type="pct"/>
          </w:tcPr>
          <w:p w14:paraId="2A7A8579" w14:textId="77777777" w:rsidR="00364EA2" w:rsidRPr="00E673FE" w:rsidRDefault="00000000">
            <w:pPr>
              <w:spacing w:before="0" w:after="0" w:line="276" w:lineRule="auto"/>
              <w:rPr>
                <w:rFonts w:eastAsia="Times New Roman" w:cs="Times New Roman"/>
                <w:kern w:val="0"/>
                <w:sz w:val="22"/>
                <w:szCs w:val="22"/>
                <w:lang w:eastAsia="zh-CN"/>
                <w14:ligatures w14:val="none"/>
              </w:rPr>
            </w:pPr>
            <w:proofErr w:type="spellStart"/>
            <w:r w:rsidRPr="00E673FE">
              <w:rPr>
                <w:rFonts w:eastAsia="Times New Roman" w:cs="Times New Roman"/>
                <w:kern w:val="0"/>
                <w:sz w:val="22"/>
                <w:szCs w:val="22"/>
                <w:lang w:eastAsia="zh-CN"/>
                <w14:ligatures w14:val="none"/>
              </w:rPr>
              <w:t>Kigamboni</w:t>
            </w:r>
            <w:proofErr w:type="spellEnd"/>
            <w:r w:rsidRPr="00E673FE">
              <w:rPr>
                <w:rFonts w:eastAsia="Times New Roman" w:cs="Times New Roman"/>
                <w:kern w:val="0"/>
                <w:sz w:val="22"/>
                <w:szCs w:val="22"/>
                <w:lang w:eastAsia="zh-CN"/>
                <w14:ligatures w14:val="none"/>
              </w:rPr>
              <w:t>-Tungi</w:t>
            </w:r>
          </w:p>
        </w:tc>
        <w:tc>
          <w:tcPr>
            <w:tcW w:w="1551" w:type="pct"/>
          </w:tcPr>
          <w:p w14:paraId="395F4C7F" w14:textId="77777777" w:rsidR="00364EA2" w:rsidRPr="00E673FE" w:rsidRDefault="00000000">
            <w:pPr>
              <w:spacing w:before="0" w:after="0" w:line="276" w:lineRule="auto"/>
              <w:rPr>
                <w:rFonts w:eastAsia="Times New Roman" w:cs="Times New Roman"/>
                <w:kern w:val="0"/>
                <w:sz w:val="22"/>
                <w:szCs w:val="22"/>
                <w:lang w:eastAsia="zh-CN"/>
                <w14:ligatures w14:val="none"/>
              </w:rPr>
            </w:pPr>
            <w:r w:rsidRPr="00E673FE">
              <w:rPr>
                <w:rFonts w:eastAsia="Times New Roman" w:cs="Times New Roman"/>
                <w:kern w:val="0"/>
                <w:sz w:val="22"/>
                <w:szCs w:val="22"/>
                <w:lang w:eastAsia="zh-CN"/>
                <w14:ligatures w14:val="none"/>
              </w:rPr>
              <w:t>6 (3 male, 3 female)</w:t>
            </w:r>
          </w:p>
        </w:tc>
        <w:tc>
          <w:tcPr>
            <w:tcW w:w="1031" w:type="pct"/>
          </w:tcPr>
          <w:p w14:paraId="1806804D" w14:textId="77777777" w:rsidR="00364EA2" w:rsidRPr="00E673FE" w:rsidRDefault="00000000">
            <w:pPr>
              <w:spacing w:before="0" w:after="0" w:line="276" w:lineRule="auto"/>
              <w:rPr>
                <w:rFonts w:eastAsia="Times New Roman" w:cs="Times New Roman"/>
                <w:kern w:val="0"/>
                <w:sz w:val="22"/>
                <w:szCs w:val="22"/>
                <w:lang w:eastAsia="zh-CN"/>
                <w14:ligatures w14:val="none"/>
              </w:rPr>
            </w:pPr>
            <w:r w:rsidRPr="00E673FE">
              <w:rPr>
                <w:rFonts w:eastAsia="Times New Roman" w:cs="Times New Roman"/>
                <w:kern w:val="0"/>
                <w:sz w:val="22"/>
                <w:szCs w:val="22"/>
                <w:lang w:eastAsia="zh-CN"/>
                <w14:ligatures w14:val="none"/>
              </w:rPr>
              <w:t>March 13, 2025</w:t>
            </w:r>
          </w:p>
        </w:tc>
      </w:tr>
      <w:tr w:rsidR="00364EA2" w:rsidRPr="00E673FE" w14:paraId="713E9987" w14:textId="77777777">
        <w:tc>
          <w:tcPr>
            <w:tcW w:w="354" w:type="pct"/>
          </w:tcPr>
          <w:p w14:paraId="37FBDAC6" w14:textId="77777777" w:rsidR="00364EA2" w:rsidRPr="00E673FE" w:rsidRDefault="00000000">
            <w:pPr>
              <w:spacing w:before="0" w:after="0" w:line="276" w:lineRule="auto"/>
              <w:rPr>
                <w:rFonts w:eastAsia="Times New Roman" w:cs="Times New Roman"/>
                <w:kern w:val="0"/>
                <w:sz w:val="22"/>
                <w:szCs w:val="22"/>
                <w:lang w:eastAsia="zh-CN"/>
                <w14:ligatures w14:val="none"/>
              </w:rPr>
            </w:pPr>
            <w:r w:rsidRPr="00E673FE">
              <w:rPr>
                <w:rFonts w:eastAsia="Times New Roman" w:cs="Times New Roman"/>
                <w:kern w:val="0"/>
                <w:sz w:val="22"/>
                <w:szCs w:val="22"/>
                <w:lang w:eastAsia="zh-CN"/>
                <w14:ligatures w14:val="none"/>
              </w:rPr>
              <w:t>3</w:t>
            </w:r>
          </w:p>
        </w:tc>
        <w:tc>
          <w:tcPr>
            <w:tcW w:w="913" w:type="pct"/>
          </w:tcPr>
          <w:p w14:paraId="5404B7C5" w14:textId="77777777" w:rsidR="00364EA2" w:rsidRPr="00E673FE" w:rsidRDefault="00000000">
            <w:pPr>
              <w:spacing w:before="0" w:after="0" w:line="276" w:lineRule="auto"/>
              <w:rPr>
                <w:rFonts w:eastAsia="Times New Roman" w:cs="Times New Roman"/>
                <w:kern w:val="0"/>
                <w:sz w:val="22"/>
                <w:szCs w:val="22"/>
                <w:lang w:eastAsia="zh-CN"/>
                <w14:ligatures w14:val="none"/>
              </w:rPr>
            </w:pPr>
            <w:r w:rsidRPr="00E673FE">
              <w:rPr>
                <w:rFonts w:eastAsia="Times New Roman" w:cs="Times New Roman"/>
                <w:kern w:val="0"/>
                <w:sz w:val="22"/>
                <w:szCs w:val="22"/>
                <w:lang w:eastAsia="zh-CN"/>
                <w14:ligatures w14:val="none"/>
              </w:rPr>
              <w:t>Kinondoni</w:t>
            </w:r>
          </w:p>
        </w:tc>
        <w:tc>
          <w:tcPr>
            <w:tcW w:w="1151" w:type="pct"/>
          </w:tcPr>
          <w:p w14:paraId="540AD23D" w14:textId="77777777" w:rsidR="00364EA2" w:rsidRPr="00E673FE" w:rsidRDefault="00000000">
            <w:pPr>
              <w:spacing w:before="0" w:after="0" w:line="276" w:lineRule="auto"/>
              <w:rPr>
                <w:rFonts w:eastAsia="Times New Roman" w:cs="Times New Roman"/>
                <w:kern w:val="0"/>
                <w:sz w:val="22"/>
                <w:szCs w:val="22"/>
                <w:lang w:eastAsia="zh-CN"/>
                <w14:ligatures w14:val="none"/>
              </w:rPr>
            </w:pPr>
            <w:proofErr w:type="spellStart"/>
            <w:r w:rsidRPr="00E673FE">
              <w:rPr>
                <w:rFonts w:eastAsia="Times New Roman" w:cs="Times New Roman"/>
                <w:kern w:val="0"/>
                <w:sz w:val="22"/>
                <w:szCs w:val="22"/>
                <w:lang w:eastAsia="zh-CN"/>
                <w14:ligatures w14:val="none"/>
              </w:rPr>
              <w:t>Kunduchi</w:t>
            </w:r>
            <w:proofErr w:type="spellEnd"/>
          </w:p>
        </w:tc>
        <w:tc>
          <w:tcPr>
            <w:tcW w:w="1551" w:type="pct"/>
          </w:tcPr>
          <w:p w14:paraId="3E30478D" w14:textId="77777777" w:rsidR="00364EA2" w:rsidRPr="00E673FE" w:rsidRDefault="00000000">
            <w:pPr>
              <w:spacing w:before="0" w:after="0" w:line="276" w:lineRule="auto"/>
              <w:rPr>
                <w:rFonts w:eastAsia="Times New Roman" w:cs="Times New Roman"/>
                <w:kern w:val="0"/>
                <w:sz w:val="22"/>
                <w:szCs w:val="22"/>
                <w:lang w:eastAsia="zh-CN"/>
                <w14:ligatures w14:val="none"/>
              </w:rPr>
            </w:pPr>
            <w:r w:rsidRPr="00E673FE">
              <w:rPr>
                <w:rFonts w:eastAsia="Times New Roman" w:cs="Times New Roman"/>
                <w:kern w:val="0"/>
                <w:sz w:val="22"/>
                <w:szCs w:val="22"/>
                <w:lang w:eastAsia="zh-CN"/>
                <w14:ligatures w14:val="none"/>
              </w:rPr>
              <w:t>7 (3 male, 4 female)</w:t>
            </w:r>
          </w:p>
        </w:tc>
        <w:tc>
          <w:tcPr>
            <w:tcW w:w="1031" w:type="pct"/>
          </w:tcPr>
          <w:p w14:paraId="5D35BA72" w14:textId="77777777" w:rsidR="00364EA2" w:rsidRPr="00E673FE" w:rsidRDefault="00000000">
            <w:pPr>
              <w:spacing w:before="0" w:after="0" w:line="276" w:lineRule="auto"/>
              <w:rPr>
                <w:rFonts w:eastAsia="Times New Roman" w:cs="Times New Roman"/>
                <w:kern w:val="0"/>
                <w:sz w:val="22"/>
                <w:szCs w:val="22"/>
                <w:lang w:eastAsia="zh-CN"/>
                <w14:ligatures w14:val="none"/>
              </w:rPr>
            </w:pPr>
            <w:r w:rsidRPr="00E673FE">
              <w:rPr>
                <w:rFonts w:eastAsia="Times New Roman" w:cs="Times New Roman"/>
                <w:kern w:val="0"/>
                <w:sz w:val="22"/>
                <w:szCs w:val="22"/>
                <w:lang w:eastAsia="zh-CN"/>
                <w14:ligatures w14:val="none"/>
              </w:rPr>
              <w:t>March 14, 2025</w:t>
            </w:r>
          </w:p>
        </w:tc>
      </w:tr>
      <w:tr w:rsidR="00364EA2" w:rsidRPr="00E673FE" w14:paraId="4A3C5860" w14:textId="77777777">
        <w:tc>
          <w:tcPr>
            <w:tcW w:w="354" w:type="pct"/>
          </w:tcPr>
          <w:p w14:paraId="0994C263" w14:textId="77777777" w:rsidR="00364EA2" w:rsidRPr="00E673FE" w:rsidRDefault="00000000">
            <w:pPr>
              <w:spacing w:before="0" w:after="0" w:line="276" w:lineRule="auto"/>
              <w:rPr>
                <w:rFonts w:eastAsia="Times New Roman" w:cs="Times New Roman"/>
                <w:kern w:val="0"/>
                <w:sz w:val="22"/>
                <w:szCs w:val="22"/>
                <w:lang w:eastAsia="zh-CN"/>
                <w14:ligatures w14:val="none"/>
              </w:rPr>
            </w:pPr>
            <w:r w:rsidRPr="00E673FE">
              <w:rPr>
                <w:rFonts w:eastAsia="Times New Roman" w:cs="Times New Roman"/>
                <w:kern w:val="0"/>
                <w:sz w:val="22"/>
                <w:szCs w:val="22"/>
                <w:lang w:eastAsia="zh-CN"/>
                <w14:ligatures w14:val="none"/>
              </w:rPr>
              <w:t>4</w:t>
            </w:r>
          </w:p>
        </w:tc>
        <w:tc>
          <w:tcPr>
            <w:tcW w:w="913" w:type="pct"/>
          </w:tcPr>
          <w:p w14:paraId="2AF20AA3" w14:textId="77777777" w:rsidR="00364EA2" w:rsidRPr="00E673FE" w:rsidRDefault="00000000">
            <w:pPr>
              <w:spacing w:before="0" w:after="0" w:line="276" w:lineRule="auto"/>
              <w:rPr>
                <w:rFonts w:eastAsia="Times New Roman" w:cs="Times New Roman"/>
                <w:kern w:val="0"/>
                <w:sz w:val="22"/>
                <w:szCs w:val="22"/>
                <w:lang w:eastAsia="zh-CN"/>
                <w14:ligatures w14:val="none"/>
              </w:rPr>
            </w:pPr>
            <w:proofErr w:type="spellStart"/>
            <w:r w:rsidRPr="00E673FE">
              <w:rPr>
                <w:rFonts w:eastAsia="Times New Roman" w:cs="Times New Roman"/>
                <w:kern w:val="0"/>
                <w:sz w:val="22"/>
                <w:szCs w:val="22"/>
                <w:lang w:eastAsia="zh-CN"/>
                <w14:ligatures w14:val="none"/>
              </w:rPr>
              <w:t>Ubungo</w:t>
            </w:r>
            <w:proofErr w:type="spellEnd"/>
          </w:p>
        </w:tc>
        <w:tc>
          <w:tcPr>
            <w:tcW w:w="1151" w:type="pct"/>
          </w:tcPr>
          <w:p w14:paraId="228ECB4F" w14:textId="77777777" w:rsidR="00364EA2" w:rsidRPr="00E673FE" w:rsidRDefault="00000000">
            <w:pPr>
              <w:spacing w:before="0" w:after="0" w:line="276" w:lineRule="auto"/>
              <w:rPr>
                <w:rFonts w:eastAsia="Times New Roman" w:cs="Times New Roman"/>
                <w:kern w:val="0"/>
                <w:sz w:val="22"/>
                <w:szCs w:val="22"/>
                <w:lang w:eastAsia="zh-CN"/>
                <w14:ligatures w14:val="none"/>
              </w:rPr>
            </w:pPr>
            <w:proofErr w:type="spellStart"/>
            <w:r w:rsidRPr="00E673FE">
              <w:rPr>
                <w:rFonts w:eastAsia="Times New Roman" w:cs="Times New Roman"/>
                <w:kern w:val="0"/>
                <w:sz w:val="22"/>
                <w:szCs w:val="22"/>
                <w:lang w:eastAsia="zh-CN"/>
                <w14:ligatures w14:val="none"/>
              </w:rPr>
              <w:t>Kibamba</w:t>
            </w:r>
            <w:proofErr w:type="spellEnd"/>
          </w:p>
        </w:tc>
        <w:tc>
          <w:tcPr>
            <w:tcW w:w="1551" w:type="pct"/>
          </w:tcPr>
          <w:p w14:paraId="5B1A6319" w14:textId="77777777" w:rsidR="00364EA2" w:rsidRPr="00E673FE" w:rsidRDefault="00000000">
            <w:pPr>
              <w:spacing w:before="0" w:after="0" w:line="276" w:lineRule="auto"/>
              <w:rPr>
                <w:rFonts w:eastAsia="Times New Roman" w:cs="Times New Roman"/>
                <w:kern w:val="0"/>
                <w:sz w:val="22"/>
                <w:szCs w:val="22"/>
                <w:lang w:eastAsia="zh-CN"/>
                <w14:ligatures w14:val="none"/>
              </w:rPr>
            </w:pPr>
            <w:r w:rsidRPr="00E673FE">
              <w:rPr>
                <w:rFonts w:eastAsia="Times New Roman" w:cs="Times New Roman"/>
                <w:kern w:val="0"/>
                <w:sz w:val="22"/>
                <w:szCs w:val="22"/>
                <w:lang w:eastAsia="zh-CN"/>
                <w14:ligatures w14:val="none"/>
              </w:rPr>
              <w:t>7 (3 male, 4 female)</w:t>
            </w:r>
          </w:p>
        </w:tc>
        <w:tc>
          <w:tcPr>
            <w:tcW w:w="1031" w:type="pct"/>
          </w:tcPr>
          <w:p w14:paraId="1E58A846" w14:textId="77777777" w:rsidR="00364EA2" w:rsidRPr="00E673FE" w:rsidRDefault="00000000">
            <w:pPr>
              <w:spacing w:before="0" w:after="0" w:line="276" w:lineRule="auto"/>
              <w:rPr>
                <w:rFonts w:eastAsia="Times New Roman" w:cs="Times New Roman"/>
                <w:kern w:val="0"/>
                <w:sz w:val="22"/>
                <w:szCs w:val="22"/>
                <w:lang w:eastAsia="zh-CN"/>
                <w14:ligatures w14:val="none"/>
              </w:rPr>
            </w:pPr>
            <w:r w:rsidRPr="00E673FE">
              <w:rPr>
                <w:rFonts w:eastAsia="Times New Roman" w:cs="Times New Roman"/>
                <w:kern w:val="0"/>
                <w:sz w:val="22"/>
                <w:szCs w:val="22"/>
                <w:lang w:eastAsia="zh-CN"/>
                <w14:ligatures w14:val="none"/>
              </w:rPr>
              <w:t>March 19, 2025</w:t>
            </w:r>
          </w:p>
        </w:tc>
      </w:tr>
      <w:tr w:rsidR="00364EA2" w:rsidRPr="00E673FE" w14:paraId="388457C6" w14:textId="77777777">
        <w:tc>
          <w:tcPr>
            <w:tcW w:w="354" w:type="pct"/>
          </w:tcPr>
          <w:p w14:paraId="081737A4" w14:textId="77777777" w:rsidR="00364EA2" w:rsidRPr="00E673FE" w:rsidRDefault="00000000">
            <w:pPr>
              <w:spacing w:before="0" w:after="0" w:line="276" w:lineRule="auto"/>
              <w:rPr>
                <w:rFonts w:eastAsia="Times New Roman" w:cs="Times New Roman"/>
                <w:kern w:val="0"/>
                <w:sz w:val="22"/>
                <w:szCs w:val="22"/>
                <w:lang w:eastAsia="zh-CN"/>
                <w14:ligatures w14:val="none"/>
              </w:rPr>
            </w:pPr>
            <w:r w:rsidRPr="00E673FE">
              <w:rPr>
                <w:rFonts w:eastAsia="Times New Roman" w:cs="Times New Roman"/>
                <w:kern w:val="0"/>
                <w:sz w:val="22"/>
                <w:szCs w:val="22"/>
                <w:lang w:eastAsia="zh-CN"/>
                <w14:ligatures w14:val="none"/>
              </w:rPr>
              <w:t>5</w:t>
            </w:r>
          </w:p>
        </w:tc>
        <w:tc>
          <w:tcPr>
            <w:tcW w:w="913" w:type="pct"/>
          </w:tcPr>
          <w:p w14:paraId="7DBE3D1B" w14:textId="77777777" w:rsidR="00364EA2" w:rsidRPr="00E673FE" w:rsidRDefault="00000000">
            <w:pPr>
              <w:spacing w:before="0" w:after="0" w:line="276" w:lineRule="auto"/>
              <w:rPr>
                <w:rFonts w:eastAsia="Times New Roman" w:cs="Times New Roman"/>
                <w:kern w:val="0"/>
                <w:sz w:val="22"/>
                <w:szCs w:val="22"/>
                <w:lang w:eastAsia="zh-CN"/>
                <w14:ligatures w14:val="none"/>
              </w:rPr>
            </w:pPr>
            <w:r w:rsidRPr="00E673FE">
              <w:rPr>
                <w:rFonts w:eastAsia="Times New Roman" w:cs="Times New Roman"/>
                <w:kern w:val="0"/>
                <w:sz w:val="22"/>
                <w:szCs w:val="22"/>
                <w:lang w:eastAsia="zh-CN"/>
                <w14:ligatures w14:val="none"/>
              </w:rPr>
              <w:t>Temeke</w:t>
            </w:r>
          </w:p>
        </w:tc>
        <w:tc>
          <w:tcPr>
            <w:tcW w:w="1151" w:type="pct"/>
          </w:tcPr>
          <w:p w14:paraId="063B2D4C" w14:textId="77777777" w:rsidR="00364EA2" w:rsidRPr="00E673FE" w:rsidRDefault="00000000">
            <w:pPr>
              <w:spacing w:before="0" w:after="0" w:line="276" w:lineRule="auto"/>
              <w:rPr>
                <w:rFonts w:eastAsia="Times New Roman" w:cs="Times New Roman"/>
                <w:kern w:val="0"/>
                <w:sz w:val="22"/>
                <w:szCs w:val="22"/>
                <w:lang w:eastAsia="zh-CN"/>
                <w14:ligatures w14:val="none"/>
              </w:rPr>
            </w:pPr>
            <w:proofErr w:type="spellStart"/>
            <w:r w:rsidRPr="00E673FE">
              <w:rPr>
                <w:rFonts w:eastAsia="Times New Roman" w:cs="Times New Roman"/>
                <w:kern w:val="0"/>
                <w:sz w:val="22"/>
                <w:szCs w:val="22"/>
                <w:lang w:eastAsia="zh-CN"/>
                <w14:ligatures w14:val="none"/>
              </w:rPr>
              <w:t>Mgeninani</w:t>
            </w:r>
            <w:proofErr w:type="spellEnd"/>
          </w:p>
        </w:tc>
        <w:tc>
          <w:tcPr>
            <w:tcW w:w="1551" w:type="pct"/>
          </w:tcPr>
          <w:p w14:paraId="27457316" w14:textId="77777777" w:rsidR="00364EA2" w:rsidRPr="00E673FE" w:rsidRDefault="00000000">
            <w:pPr>
              <w:spacing w:before="0" w:after="0" w:line="276" w:lineRule="auto"/>
              <w:rPr>
                <w:rFonts w:eastAsia="Times New Roman" w:cs="Times New Roman"/>
                <w:kern w:val="0"/>
                <w:sz w:val="22"/>
                <w:szCs w:val="22"/>
                <w:lang w:eastAsia="zh-CN"/>
                <w14:ligatures w14:val="none"/>
              </w:rPr>
            </w:pPr>
            <w:r w:rsidRPr="00E673FE">
              <w:rPr>
                <w:rFonts w:eastAsia="Times New Roman" w:cs="Times New Roman"/>
                <w:kern w:val="0"/>
                <w:sz w:val="22"/>
                <w:szCs w:val="22"/>
                <w:lang w:eastAsia="zh-CN"/>
                <w14:ligatures w14:val="none"/>
              </w:rPr>
              <w:t>8 (4 male, 4 female)</w:t>
            </w:r>
          </w:p>
        </w:tc>
        <w:tc>
          <w:tcPr>
            <w:tcW w:w="1031" w:type="pct"/>
          </w:tcPr>
          <w:p w14:paraId="2E5CC87E" w14:textId="77777777" w:rsidR="00364EA2" w:rsidRPr="00E673FE" w:rsidRDefault="00000000">
            <w:pPr>
              <w:spacing w:before="0" w:after="0" w:line="276" w:lineRule="auto"/>
              <w:rPr>
                <w:rFonts w:eastAsia="Times New Roman" w:cs="Times New Roman"/>
                <w:kern w:val="0"/>
                <w:sz w:val="22"/>
                <w:szCs w:val="22"/>
                <w:lang w:eastAsia="zh-CN"/>
                <w14:ligatures w14:val="none"/>
              </w:rPr>
            </w:pPr>
            <w:r w:rsidRPr="00E673FE">
              <w:rPr>
                <w:rFonts w:eastAsia="Times New Roman" w:cs="Times New Roman"/>
                <w:kern w:val="0"/>
                <w:sz w:val="22"/>
                <w:szCs w:val="22"/>
                <w:lang w:eastAsia="zh-CN"/>
                <w14:ligatures w14:val="none"/>
              </w:rPr>
              <w:t>May 9, 2025</w:t>
            </w:r>
          </w:p>
        </w:tc>
      </w:tr>
    </w:tbl>
    <w:p w14:paraId="222B3270" w14:textId="77777777" w:rsidR="00F82067" w:rsidRDefault="00F82067" w:rsidP="00F82067"/>
    <w:p w14:paraId="46FF516B" w14:textId="723CD102" w:rsidR="00364EA2" w:rsidRPr="00E673FE" w:rsidRDefault="00000000" w:rsidP="00F82067">
      <w:r w:rsidRPr="00E673FE">
        <w:t>To ensure consistency, a single study team facilitated all FGDs, minimizing interviewer bias and maintaining uniformity in moderating techniques across groups. This approach enhances data quality and comparability, especially in studies with a limited number of focus groups (Guest, Namey, &amp; Chen, 2020).</w:t>
      </w:r>
    </w:p>
    <w:p w14:paraId="4BE355A1" w14:textId="77777777" w:rsidR="00364EA2" w:rsidRPr="00E673FE" w:rsidRDefault="00364EA2"/>
    <w:p w14:paraId="6B58E092" w14:textId="20FE8CAF" w:rsidR="00364EA2" w:rsidRPr="00E673FE" w:rsidRDefault="00E57BF6">
      <w:pPr>
        <w:pStyle w:val="ListParagraph"/>
        <w:numPr>
          <w:ilvl w:val="1"/>
          <w:numId w:val="2"/>
        </w:numPr>
        <w:spacing w:line="360" w:lineRule="auto"/>
        <w:rPr>
          <w:rFonts w:cs="Times New Roman"/>
          <w:b/>
          <w:i/>
          <w:iCs/>
        </w:rPr>
      </w:pPr>
      <w:r w:rsidRPr="00E673FE">
        <w:rPr>
          <w:rFonts w:cs="Times New Roman"/>
          <w:b/>
          <w:i/>
          <w:iCs/>
        </w:rPr>
        <w:t xml:space="preserve"> Analytical techniques</w:t>
      </w:r>
    </w:p>
    <w:p w14:paraId="27AD482C" w14:textId="39A58B34" w:rsidR="00E57BF6" w:rsidRPr="00E673FE" w:rsidRDefault="00E57BF6" w:rsidP="00F82067">
      <w:r w:rsidRPr="00E673FE">
        <w:lastRenderedPageBreak/>
        <w:t>We employed a descriptive analytical approach to examine women’s participation in WFMs in Dar es Salaam, focusing on the social, cultural, and institutional factors shaping their involvement and the related economic and well-being outcomes. The analysis drew on participants’ own accounts to capture their lived experiences within the market environment.</w:t>
      </w:r>
    </w:p>
    <w:p w14:paraId="7416C55D" w14:textId="74B606E4" w:rsidR="00E57BF6" w:rsidRPr="00E673FE" w:rsidRDefault="00E57BF6" w:rsidP="00F82067">
      <w:r w:rsidRPr="00E673FE">
        <w:t>Transcripts from FGDs and KIIs were analyzed thematically to explore market roles, access to resources, decision-making, and structural barriers from a gender perspective. Rather than using formal coding, interpretation prioritized narrative depth to preserve contextual meaning and participant voice. Data were organized around the study’s objectives, showing how gender norms, caregiving responsibilities, mobility constraints, and market infrastructure influence women’s participation and benefits. Direct quotations and detailed descriptions illustrate the strategies women use to navigate challenges, sustain livelihoods, and enhance economic and social well-being.</w:t>
      </w:r>
      <w:r w:rsidR="004D61BE">
        <w:t xml:space="preserve"> </w:t>
      </w:r>
      <w:r w:rsidR="00347A2C" w:rsidRPr="00347A2C">
        <w:t>In the SRA, wellbeing components are measured primarily through subjective, perception-based assessments, reflecting the socially mediated and relational nature of empowerment</w:t>
      </w:r>
      <w:r w:rsidR="0060338C">
        <w:t xml:space="preserve"> </w:t>
      </w:r>
      <w:r w:rsidR="0060338C" w:rsidRPr="00347A2C">
        <w:t>(Kabeer, 2001; Kabeer, 1994)</w:t>
      </w:r>
      <w:r w:rsidR="00347A2C" w:rsidRPr="00347A2C">
        <w:t xml:space="preserve">. </w:t>
      </w:r>
      <w:r w:rsidR="00022941">
        <w:t xml:space="preserve">This </w:t>
      </w:r>
      <w:r w:rsidR="00022941" w:rsidRPr="00022941">
        <w:t>goes beyond traditional economic indicators to capture individuals’ lived experiences and self-evaluation (</w:t>
      </w:r>
      <w:r w:rsidR="0060338C">
        <w:t>Jones and Tanner, 2017</w:t>
      </w:r>
      <w:r w:rsidR="00022941" w:rsidRPr="00022941">
        <w:t xml:space="preserve">). </w:t>
      </w:r>
      <w:r w:rsidR="00494488" w:rsidRPr="00494488">
        <w:t>Participants were asked to provide a self-assessment of how their participation in WFMs ha</w:t>
      </w:r>
      <w:r w:rsidR="00494488">
        <w:t>s</w:t>
      </w:r>
      <w:r w:rsidR="00494488" w:rsidRPr="00494488">
        <w:t xml:space="preserve"> influenced various outcomes, including income (perceptions of earnings and control over resources), economic security (livelihood stability and capacity to cope with shocks), personal autonomy (perceived decision-making power and voice within household and market contexts), and overall wellbeing (self-reported life satisfaction and improvements in living conditions).</w:t>
      </w:r>
    </w:p>
    <w:p w14:paraId="48990E1B" w14:textId="12FC4CB0" w:rsidR="00364EA2" w:rsidRPr="00E673FE" w:rsidRDefault="00E57BF6" w:rsidP="00F82067">
      <w:r w:rsidRPr="00E673FE">
        <w:t>Quantitative survey data were analyzed to describe vendor characteristics, types of food sold, and gendered patterns of participation. Integrating qualitative narratives with quantitative findings provided a fuller understanding of participation patterns, revealing both practical realities and social dynamics shaping women’s economic agency. This mixed analytical strategy generated grounded, policy-relevant insights.</w:t>
      </w:r>
    </w:p>
    <w:p w14:paraId="63D2BB23" w14:textId="77777777" w:rsidR="00E57BF6" w:rsidRPr="00E673FE" w:rsidRDefault="00E57BF6" w:rsidP="00E57BF6">
      <w:pPr>
        <w:spacing w:line="276" w:lineRule="auto"/>
        <w:ind w:firstLine="360"/>
        <w:rPr>
          <w:lang w:eastAsia="zh-CN"/>
        </w:rPr>
      </w:pPr>
    </w:p>
    <w:p w14:paraId="32BEFD4C" w14:textId="77777777" w:rsidR="00364EA2" w:rsidRPr="00E673FE" w:rsidRDefault="00000000">
      <w:pPr>
        <w:pStyle w:val="ListParagraph"/>
        <w:numPr>
          <w:ilvl w:val="0"/>
          <w:numId w:val="1"/>
        </w:numPr>
        <w:spacing w:line="276" w:lineRule="auto"/>
        <w:rPr>
          <w:rFonts w:cs="Times New Roman"/>
          <w:b/>
          <w:bCs/>
          <w:iCs/>
        </w:rPr>
      </w:pPr>
      <w:r w:rsidRPr="00E673FE">
        <w:rPr>
          <w:rFonts w:cs="Times New Roman"/>
          <w:b/>
          <w:bCs/>
          <w:iCs/>
        </w:rPr>
        <w:t xml:space="preserve">Results </w:t>
      </w:r>
    </w:p>
    <w:p w14:paraId="64081E21" w14:textId="4F7FBBDE" w:rsidR="00364EA2" w:rsidRPr="00E673FE" w:rsidRDefault="00E57BF6">
      <w:pPr>
        <w:pStyle w:val="ListParagraph"/>
        <w:numPr>
          <w:ilvl w:val="1"/>
          <w:numId w:val="3"/>
        </w:numPr>
        <w:spacing w:line="276" w:lineRule="auto"/>
        <w:rPr>
          <w:rFonts w:cs="Times New Roman"/>
          <w:b/>
          <w:bCs/>
          <w:i/>
        </w:rPr>
      </w:pPr>
      <w:r w:rsidRPr="00E673FE">
        <w:rPr>
          <w:rFonts w:cs="Times New Roman"/>
          <w:b/>
          <w:bCs/>
          <w:i/>
        </w:rPr>
        <w:t>Operations and gender composition in WFMs</w:t>
      </w:r>
    </w:p>
    <w:p w14:paraId="20FEA330" w14:textId="69BBC7A3" w:rsidR="00E57BF6" w:rsidRPr="00E673FE" w:rsidRDefault="00E57BF6" w:rsidP="00F82067">
      <w:r w:rsidRPr="00E673FE">
        <w:t xml:space="preserve">Findings from both the focus group discussions and the survey reveal that WFMs in Dar es Salaam are mainly managed by vendors but are partially regulated by municipal authorities. The markets follow a rotating schedule across the city’s five districts, with each location hosting activities once a week. This system gives traders flexibility while still being under municipal oversight. Daily operations generally follow four stages. Vendors start early in the morning by getting produce from wholesale markets like Kariakoo, Ilala, </w:t>
      </w:r>
      <w:proofErr w:type="spellStart"/>
      <w:r w:rsidRPr="00E673FE">
        <w:t>Mabibo</w:t>
      </w:r>
      <w:proofErr w:type="spellEnd"/>
      <w:r w:rsidRPr="00E673FE">
        <w:t xml:space="preserve">, and Temeke, or directly from small-scale urban farmers. They then transport the goods to WFM sites and display them for sale. Trading usually begins around 10:00 a.m. and continues into the evening. Vegetable vendors often work until late at night, sometimes as late as 11:00 p.m. Unsold goods are packed up and moved to the market for the next day. Vendor associations work closely with municipal officials to keep order, manage logistics, and represent traders’ interests. </w:t>
      </w:r>
    </w:p>
    <w:p w14:paraId="519CC683" w14:textId="7742E26A" w:rsidR="00E57BF6" w:rsidRPr="00E673FE" w:rsidRDefault="00000000" w:rsidP="00F82067">
      <w:r w:rsidRPr="00E673FE">
        <w:lastRenderedPageBreak/>
        <w:t xml:space="preserve">Survey data show that vendors usually work in about four markets </w:t>
      </w:r>
      <w:r w:rsidR="00E57BF6" w:rsidRPr="00E673FE">
        <w:t xml:space="preserve">over the course of the week </w:t>
      </w:r>
      <w:r w:rsidRPr="00E673FE">
        <w:t xml:space="preserve">in different municipalities (Figure </w:t>
      </w:r>
      <w:r w:rsidR="00E57BF6" w:rsidRPr="00E673FE">
        <w:t>3</w:t>
      </w:r>
      <w:r w:rsidRPr="00E673FE">
        <w:t>). Both men and women take part in four to five WFM activities, but women's involvement peaks at four markets. Overall, female vendors are more often engaged in multiple markets, which suggests they are more likely to diversify their activities compared to men. This pattern highlights the mobility and flexibility needed to support their livelihoods.</w:t>
      </w:r>
      <w:r w:rsidR="00E57BF6" w:rsidRPr="00E673FE">
        <w:t xml:space="preserve"> In the share of food vendors by gender across municipalities, female vendors make up the majority. Their share ranges from 51% in Ilala to 63% in </w:t>
      </w:r>
      <w:proofErr w:type="spellStart"/>
      <w:r w:rsidR="00E57BF6" w:rsidRPr="00E673FE">
        <w:t>Ubungo</w:t>
      </w:r>
      <w:proofErr w:type="spellEnd"/>
      <w:r w:rsidR="00E57BF6" w:rsidRPr="00E673FE">
        <w:t xml:space="preserve">. Male vendors account for 37% to 49%. This shows that food vending in Dar es Salaam’s WFMs is mainly a female activity. </w:t>
      </w:r>
    </w:p>
    <w:p w14:paraId="462C7461" w14:textId="77777777" w:rsidR="00E57BF6" w:rsidRPr="00E673FE" w:rsidRDefault="00E57BF6">
      <w:pPr>
        <w:spacing w:after="0" w:line="276"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E57BF6" w:rsidRPr="00E673FE" w14:paraId="5F5CB763" w14:textId="77777777" w:rsidTr="00E57BF6">
        <w:tc>
          <w:tcPr>
            <w:tcW w:w="9016" w:type="dxa"/>
          </w:tcPr>
          <w:p w14:paraId="712CD10C" w14:textId="7057F94D" w:rsidR="00E57BF6" w:rsidRPr="00E673FE" w:rsidRDefault="00E57BF6">
            <w:pPr>
              <w:spacing w:after="0" w:line="276" w:lineRule="auto"/>
            </w:pPr>
            <w:r w:rsidRPr="00E673FE">
              <w:rPr>
                <w:noProof/>
              </w:rPr>
              <w:drawing>
                <wp:inline distT="0" distB="0" distL="0" distR="0" wp14:anchorId="7A03EB9E" wp14:editId="2D76EBCD">
                  <wp:extent cx="5375275" cy="2015490"/>
                  <wp:effectExtent l="0" t="0" r="15875" b="381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r>
      <w:tr w:rsidR="00E57BF6" w:rsidRPr="00E673FE" w14:paraId="1E8A2E34" w14:textId="77777777" w:rsidTr="00E57BF6">
        <w:trPr>
          <w:trHeight w:val="3574"/>
        </w:trPr>
        <w:tc>
          <w:tcPr>
            <w:tcW w:w="9016" w:type="dxa"/>
          </w:tcPr>
          <w:p w14:paraId="4625430D" w14:textId="3730C6D7" w:rsidR="00E57BF6" w:rsidRPr="00E673FE" w:rsidRDefault="00E57BF6" w:rsidP="00E57BF6">
            <w:pPr>
              <w:pStyle w:val="ListParagraph"/>
              <w:spacing w:after="0" w:line="276" w:lineRule="auto"/>
              <w:ind w:hanging="720"/>
              <w:rPr>
                <w:rFonts w:cs="Times New Roman"/>
                <w:sz w:val="20"/>
                <w:szCs w:val="20"/>
              </w:rPr>
            </w:pPr>
            <w:r w:rsidRPr="00E673FE">
              <w:rPr>
                <w:noProof/>
              </w:rPr>
              <w:drawing>
                <wp:inline distT="0" distB="0" distL="0" distR="0" wp14:anchorId="6548F96C" wp14:editId="14DCF086">
                  <wp:extent cx="5375275" cy="2192867"/>
                  <wp:effectExtent l="0" t="0" r="15875" b="1714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711F8F0B" w14:textId="11594B2B" w:rsidR="00E57BF6" w:rsidRPr="00E673FE" w:rsidRDefault="00000000" w:rsidP="00E57BF6">
      <w:pPr>
        <w:spacing w:line="276" w:lineRule="auto"/>
        <w:rPr>
          <w:rFonts w:cs="Times New Roman"/>
        </w:rPr>
      </w:pPr>
      <w:r w:rsidRPr="00E673FE">
        <w:rPr>
          <w:rFonts w:cs="Times New Roman"/>
        </w:rPr>
        <w:t xml:space="preserve">Figure </w:t>
      </w:r>
      <w:r w:rsidR="00E57BF6" w:rsidRPr="00E673FE">
        <w:rPr>
          <w:rFonts w:cs="Times New Roman"/>
        </w:rPr>
        <w:t>3</w:t>
      </w:r>
      <w:r w:rsidRPr="00E673FE">
        <w:rPr>
          <w:rFonts w:cs="Times New Roman"/>
        </w:rPr>
        <w:t xml:space="preserve">. </w:t>
      </w:r>
      <w:r w:rsidR="00E57BF6" w:rsidRPr="00E673FE">
        <w:rPr>
          <w:rFonts w:cs="Times New Roman"/>
        </w:rPr>
        <w:t>Vendor participation in WFMs and gender composition across municipalities</w:t>
      </w:r>
    </w:p>
    <w:p w14:paraId="530E60A1" w14:textId="62BF9680" w:rsidR="00364EA2" w:rsidRPr="00E673FE" w:rsidRDefault="00364EA2">
      <w:pPr>
        <w:spacing w:after="0" w:line="276" w:lineRule="auto"/>
        <w:rPr>
          <w:rFonts w:cs="Times New Roman"/>
          <w:sz w:val="20"/>
          <w:szCs w:val="20"/>
        </w:rPr>
      </w:pPr>
    </w:p>
    <w:p w14:paraId="01CE4444" w14:textId="77777777" w:rsidR="00364EA2" w:rsidRPr="00E673FE" w:rsidRDefault="00000000">
      <w:pPr>
        <w:pStyle w:val="ListParagraph"/>
        <w:numPr>
          <w:ilvl w:val="1"/>
          <w:numId w:val="3"/>
        </w:numPr>
        <w:spacing w:line="276" w:lineRule="auto"/>
        <w:rPr>
          <w:b/>
          <w:i/>
          <w:iCs/>
        </w:rPr>
      </w:pPr>
      <w:r w:rsidRPr="00E673FE">
        <w:rPr>
          <w:b/>
          <w:i/>
          <w:iCs/>
        </w:rPr>
        <w:t>Women’s’ motivations to participate in WFMs</w:t>
      </w:r>
    </w:p>
    <w:p w14:paraId="611D9C4C" w14:textId="63060C57" w:rsidR="00364EA2" w:rsidRPr="00E673FE" w:rsidRDefault="00000000" w:rsidP="00F82067">
      <w:pPr>
        <w:rPr>
          <w:lang w:eastAsia="zh-CN"/>
        </w:rPr>
      </w:pPr>
      <w:r w:rsidRPr="00E673FE">
        <w:rPr>
          <w:lang w:eastAsia="zh-CN"/>
        </w:rPr>
        <w:t xml:space="preserve">Findings from the FGDs indicate that </w:t>
      </w:r>
      <w:bookmarkStart w:id="0" w:name="_Hlk212471895"/>
      <w:r w:rsidRPr="00E673FE">
        <w:rPr>
          <w:lang w:eastAsia="zh-CN"/>
        </w:rPr>
        <w:t xml:space="preserve">women’s participation in WFMs is </w:t>
      </w:r>
      <w:r w:rsidR="00E57BF6" w:rsidRPr="00E673FE">
        <w:rPr>
          <w:lang w:eastAsia="zh-CN"/>
        </w:rPr>
        <w:t xml:space="preserve">driven by a number of interrelated factors reflecting both livelihood necessities and seeking of opportunities. </w:t>
      </w:r>
      <w:bookmarkEnd w:id="0"/>
      <w:r w:rsidR="00E57BF6" w:rsidRPr="00E673FE">
        <w:rPr>
          <w:lang w:eastAsia="zh-CN"/>
        </w:rPr>
        <w:t xml:space="preserve">Many women participate in WFMs out of livelihood necessity and the responsibility </w:t>
      </w:r>
      <w:r w:rsidRPr="00E673FE">
        <w:rPr>
          <w:lang w:eastAsia="zh-CN"/>
        </w:rPr>
        <w:t xml:space="preserve">to meet social and family responsibilities. </w:t>
      </w:r>
      <w:r w:rsidR="00E57BF6" w:rsidRPr="00E673FE">
        <w:rPr>
          <w:lang w:eastAsia="zh-CN"/>
        </w:rPr>
        <w:t xml:space="preserve">Female vendors, including single mothers, widows, and married women who carry the main financial responsibility, see market trading as a crucial way to support their families. They rely on it to meet household needs like food, education, </w:t>
      </w:r>
      <w:r w:rsidR="00E57BF6" w:rsidRPr="00E673FE">
        <w:rPr>
          <w:lang w:eastAsia="zh-CN"/>
        </w:rPr>
        <w:lastRenderedPageBreak/>
        <w:t xml:space="preserve">and other essentials. </w:t>
      </w:r>
      <w:r w:rsidRPr="00E673FE">
        <w:rPr>
          <w:lang w:eastAsia="zh-CN"/>
        </w:rPr>
        <w:t>At Tabata-</w:t>
      </w:r>
      <w:proofErr w:type="spellStart"/>
      <w:r w:rsidRPr="00E673FE">
        <w:rPr>
          <w:lang w:eastAsia="zh-CN"/>
        </w:rPr>
        <w:t>Kimanga</w:t>
      </w:r>
      <w:proofErr w:type="spellEnd"/>
      <w:r w:rsidRPr="00E673FE">
        <w:rPr>
          <w:lang w:eastAsia="zh-CN"/>
        </w:rPr>
        <w:t xml:space="preserve"> market, one vendor explained that market work allows her to secure daily income despite starting each day with very little:</w:t>
      </w:r>
    </w:p>
    <w:p w14:paraId="48020746" w14:textId="77777777" w:rsidR="00364EA2" w:rsidRPr="00E673FE" w:rsidRDefault="00000000" w:rsidP="00F1710F">
      <w:pPr>
        <w:pStyle w:val="Quote"/>
        <w:spacing w:after="200"/>
        <w:contextualSpacing w:val="0"/>
        <w:rPr>
          <w:color w:val="000000"/>
          <w:lang w:eastAsia="zh-CN"/>
          <w14:textFill>
            <w14:solidFill>
              <w14:srgbClr w14:val="000000">
                <w14:lumMod w14:val="95000"/>
                <w14:lumOff w14:val="5000"/>
                <w14:lumMod w14:val="75000"/>
                <w14:lumOff w14:val="25000"/>
              </w14:srgbClr>
            </w14:solidFill>
          </w14:textFill>
        </w:rPr>
      </w:pPr>
      <w:r w:rsidRPr="00E673FE">
        <w:rPr>
          <w:color w:val="000000"/>
          <w:lang w:eastAsia="zh-CN"/>
          <w14:textFill>
            <w14:solidFill>
              <w14:srgbClr w14:val="000000">
                <w14:lumMod w14:val="95000"/>
                <w14:lumOff w14:val="5000"/>
                <w14:lumMod w14:val="75000"/>
                <w14:lumOff w14:val="25000"/>
              </w14:srgbClr>
            </w14:solidFill>
          </w14:textFill>
        </w:rPr>
        <w:t>I’m thankful because I earn money to eat. If I had stayed at home, it would be different. Sometimes I leave home with just fare money, but when I get here, I make enough for food and tomorrow’s fare too.</w:t>
      </w:r>
    </w:p>
    <w:p w14:paraId="10DDD5FC" w14:textId="23821700" w:rsidR="00364EA2" w:rsidRPr="00E673FE" w:rsidRDefault="00E57BF6" w:rsidP="00F82067">
      <w:pPr>
        <w:rPr>
          <w:lang w:eastAsia="zh-CN"/>
        </w:rPr>
      </w:pPr>
      <w:r w:rsidRPr="00E673FE">
        <w:rPr>
          <w:lang w:eastAsia="zh-CN"/>
        </w:rPr>
        <w:t xml:space="preserve">Beyond household obligations, women are also drawn to WFMs because they offer relative stability and better income opportunities compared to other small-scale retail outlets. The markets are perceived as more predictable and manageable spaces for earning a living, as another female vendor in </w:t>
      </w:r>
      <w:proofErr w:type="spellStart"/>
      <w:r w:rsidRPr="00E673FE">
        <w:rPr>
          <w:lang w:eastAsia="zh-CN"/>
        </w:rPr>
        <w:t>Kigamboni</w:t>
      </w:r>
      <w:proofErr w:type="spellEnd"/>
      <w:r w:rsidRPr="00E673FE">
        <w:rPr>
          <w:lang w:eastAsia="zh-CN"/>
        </w:rPr>
        <w:t xml:space="preserve"> market contrasted them with kiosks and neighborhood shops, pointing out how regular customers often demand goods on credit, reducing profits:</w:t>
      </w:r>
    </w:p>
    <w:p w14:paraId="2966D7F3" w14:textId="77777777" w:rsidR="00364EA2" w:rsidRPr="00E673FE" w:rsidRDefault="00000000" w:rsidP="00F1710F">
      <w:pPr>
        <w:pStyle w:val="Quote"/>
        <w:spacing w:after="200"/>
        <w:contextualSpacing w:val="0"/>
        <w:rPr>
          <w:color w:val="000000"/>
          <w:lang w:eastAsia="zh-CN"/>
          <w14:textFill>
            <w14:solidFill>
              <w14:srgbClr w14:val="000000">
                <w14:lumMod w14:val="95000"/>
                <w14:lumOff w14:val="5000"/>
                <w14:lumMod w14:val="75000"/>
                <w14:lumOff w14:val="25000"/>
              </w14:srgbClr>
            </w14:solidFill>
          </w14:textFill>
        </w:rPr>
      </w:pPr>
      <w:r w:rsidRPr="00E673FE">
        <w:rPr>
          <w:color w:val="000000"/>
          <w:lang w:eastAsia="zh-CN"/>
          <w14:textFill>
            <w14:solidFill>
              <w14:srgbClr w14:val="000000">
                <w14:lumMod w14:val="95000"/>
                <w14:lumOff w14:val="5000"/>
                <w14:lumMod w14:val="75000"/>
                <w14:lumOff w14:val="25000"/>
              </w14:srgbClr>
            </w14:solidFill>
          </w14:textFill>
        </w:rPr>
        <w:t xml:space="preserve">…those who have opened kiosks or shops in the </w:t>
      </w:r>
      <w:proofErr w:type="spellStart"/>
      <w:r w:rsidRPr="00E673FE">
        <w:rPr>
          <w:color w:val="000000"/>
          <w:lang w:eastAsia="zh-CN"/>
          <w14:textFill>
            <w14:solidFill>
              <w14:srgbClr w14:val="000000">
                <w14:lumMod w14:val="95000"/>
                <w14:lumOff w14:val="5000"/>
                <w14:lumMod w14:val="75000"/>
                <w14:lumOff w14:val="25000"/>
              </w14:srgbClr>
            </w14:solidFill>
          </w14:textFill>
        </w:rPr>
        <w:t>neighbourhoods</w:t>
      </w:r>
      <w:proofErr w:type="spellEnd"/>
      <w:r w:rsidRPr="00E673FE">
        <w:rPr>
          <w:color w:val="000000"/>
          <w:lang w:eastAsia="zh-CN"/>
          <w14:textFill>
            <w14:solidFill>
              <w14:srgbClr w14:val="000000">
                <w14:lumMod w14:val="95000"/>
                <w14:lumOff w14:val="5000"/>
                <w14:lumMod w14:val="75000"/>
                <w14:lumOff w14:val="25000"/>
              </w14:srgbClr>
            </w14:solidFill>
          </w14:textFill>
        </w:rPr>
        <w:t>, their customers are the same ones who live there every day. And those regular customers often like to take goods on credit. Once you start offering credit in these small businesses, it drags you down and reduces your profits unlike in the WFMs where you meet new customers weekly.</w:t>
      </w:r>
    </w:p>
    <w:p w14:paraId="69774FFB" w14:textId="5D788B29" w:rsidR="00364EA2" w:rsidRPr="00E673FE" w:rsidRDefault="00E57BF6" w:rsidP="00F82067">
      <w:pPr>
        <w:rPr>
          <w:rFonts w:eastAsia="Times New Roman" w:cs="Times New Roman"/>
          <w:kern w:val="0"/>
          <w:lang w:eastAsia="zh-CN"/>
          <w14:ligatures w14:val="none"/>
        </w:rPr>
      </w:pPr>
      <w:r w:rsidRPr="00E673FE">
        <w:rPr>
          <w:lang w:eastAsia="zh-CN"/>
        </w:rPr>
        <w:t xml:space="preserve">In addition, the inclusive and flexible nature of WFMs appeals to a wide variety of traders. The markets have low entry barriers and few gender-based restrictions. This allows women to participate, no matter their age, marital status, or education level. At </w:t>
      </w:r>
      <w:proofErr w:type="spellStart"/>
      <w:r w:rsidRPr="00E673FE">
        <w:rPr>
          <w:lang w:eastAsia="zh-CN"/>
        </w:rPr>
        <w:t>Mgeninani</w:t>
      </w:r>
      <w:proofErr w:type="spellEnd"/>
      <w:r w:rsidRPr="00E673FE">
        <w:rPr>
          <w:lang w:eastAsia="zh-CN"/>
        </w:rPr>
        <w:t xml:space="preserve"> market, one vendor described how these conditions supported her gradual progress in business:</w:t>
      </w:r>
    </w:p>
    <w:p w14:paraId="21442DB2" w14:textId="2B08FA90" w:rsidR="00364EA2" w:rsidRPr="00E673FE" w:rsidRDefault="00000000" w:rsidP="00F1710F">
      <w:pPr>
        <w:pStyle w:val="Quote"/>
        <w:spacing w:after="200"/>
        <w:contextualSpacing w:val="0"/>
        <w:rPr>
          <w:color w:val="000000"/>
          <w:lang w:eastAsia="zh-CN"/>
          <w14:textFill>
            <w14:solidFill>
              <w14:srgbClr w14:val="000000">
                <w14:lumMod w14:val="95000"/>
                <w14:lumOff w14:val="5000"/>
                <w14:lumMod w14:val="75000"/>
                <w14:lumOff w14:val="25000"/>
              </w14:srgbClr>
            </w14:solidFill>
          </w14:textFill>
        </w:rPr>
      </w:pPr>
      <w:r w:rsidRPr="00E673FE">
        <w:rPr>
          <w:color w:val="000000"/>
          <w:lang w:eastAsia="zh-CN"/>
          <w14:textFill>
            <w14:solidFill>
              <w14:srgbClr w14:val="000000">
                <w14:lumMod w14:val="95000"/>
                <w14:lumOff w14:val="5000"/>
                <w14:lumMod w14:val="75000"/>
                <w14:lumOff w14:val="25000"/>
              </w14:srgbClr>
            </w14:solidFill>
          </w14:textFill>
        </w:rPr>
        <w:t>I’ve been in business for about 20 years. I began selling tomatoes, potatoes, onions, and okra... It’s not that I had a big starting capital; I began with little</w:t>
      </w:r>
      <w:r w:rsidR="00E57BF6" w:rsidRPr="00E673FE">
        <w:rPr>
          <w:color w:val="000000"/>
          <w:lang w:eastAsia="zh-CN"/>
          <w14:textFill>
            <w14:solidFill>
              <w14:srgbClr w14:val="000000">
                <w14:lumMod w14:val="95000"/>
                <w14:lumOff w14:val="5000"/>
                <w14:lumMod w14:val="75000"/>
                <w14:lumOff w14:val="25000"/>
              </w14:srgbClr>
            </w14:solidFill>
          </w14:textFill>
        </w:rPr>
        <w:t>, and slowly</w:t>
      </w:r>
      <w:r w:rsidRPr="00E673FE">
        <w:rPr>
          <w:color w:val="000000"/>
          <w:lang w:eastAsia="zh-CN"/>
          <w14:textFill>
            <w14:solidFill>
              <w14:srgbClr w14:val="000000">
                <w14:lumMod w14:val="95000"/>
                <w14:lumOff w14:val="5000"/>
                <w14:lumMod w14:val="75000"/>
                <w14:lumOff w14:val="25000"/>
              </w14:srgbClr>
            </w14:solidFill>
          </w14:textFill>
        </w:rPr>
        <w:t>,</w:t>
      </w:r>
      <w:r w:rsidR="00E57BF6" w:rsidRPr="00E673FE">
        <w:rPr>
          <w:color w:val="000000"/>
          <w:lang w:eastAsia="zh-CN"/>
          <w14:textFill>
            <w14:solidFill>
              <w14:srgbClr w14:val="000000">
                <w14:lumMod w14:val="95000"/>
                <w14:lumOff w14:val="5000"/>
                <w14:lumMod w14:val="75000"/>
                <w14:lumOff w14:val="25000"/>
              </w14:srgbClr>
            </w14:solidFill>
          </w14:textFill>
        </w:rPr>
        <w:t xml:space="preserve"> </w:t>
      </w:r>
      <w:r w:rsidRPr="00E673FE">
        <w:rPr>
          <w:color w:val="000000"/>
          <w:lang w:eastAsia="zh-CN"/>
          <w14:textFill>
            <w14:solidFill>
              <w14:srgbClr w14:val="000000">
                <w14:lumMod w14:val="95000"/>
                <w14:lumOff w14:val="5000"/>
                <w14:lumMod w14:val="75000"/>
                <w14:lumOff w14:val="25000"/>
              </w14:srgbClr>
            </w14:solidFill>
          </w14:textFill>
        </w:rPr>
        <w:t>I thank God I’ve reached where I am</w:t>
      </w:r>
      <w:r w:rsidR="00E57BF6" w:rsidRPr="00E673FE">
        <w:rPr>
          <w:color w:val="000000"/>
          <w:lang w:eastAsia="zh-CN"/>
          <w14:textFill>
            <w14:solidFill>
              <w14:srgbClr w14:val="000000">
                <w14:lumMod w14:val="95000"/>
                <w14:lumOff w14:val="5000"/>
                <w14:lumMod w14:val="75000"/>
                <w14:lumOff w14:val="25000"/>
              </w14:srgbClr>
            </w14:solidFill>
          </w14:textFill>
        </w:rPr>
        <w:t>, despite my humble background.</w:t>
      </w:r>
    </w:p>
    <w:p w14:paraId="4F99D384" w14:textId="29D797AF" w:rsidR="00364EA2" w:rsidRPr="00E673FE" w:rsidRDefault="00E57BF6" w:rsidP="00F82067">
      <w:pPr>
        <w:rPr>
          <w:lang w:eastAsia="zh-CN"/>
        </w:rPr>
      </w:pPr>
      <w:r w:rsidRPr="00E673FE">
        <w:rPr>
          <w:lang w:eastAsia="zh-CN"/>
        </w:rPr>
        <w:t xml:space="preserve">These insights suggests that WFMs provide women with a relatively secure and (semi)regulated space where small initial investments can grow into sustainable livelihoods. </w:t>
      </w:r>
    </w:p>
    <w:p w14:paraId="5B543E3A" w14:textId="77777777" w:rsidR="00364EA2" w:rsidRPr="00E673FE" w:rsidRDefault="00364EA2" w:rsidP="00F1710F">
      <w:pPr>
        <w:pStyle w:val="ListParagraph"/>
        <w:spacing w:before="0" w:after="200" w:line="276" w:lineRule="auto"/>
        <w:ind w:left="0"/>
        <w:contextualSpacing w:val="0"/>
        <w:rPr>
          <w:b/>
        </w:rPr>
      </w:pPr>
    </w:p>
    <w:p w14:paraId="29FA12FA" w14:textId="5A6F882D" w:rsidR="00364EA2" w:rsidRPr="00E673FE" w:rsidRDefault="00E57BF6" w:rsidP="00F1710F">
      <w:pPr>
        <w:pStyle w:val="ListParagraph"/>
        <w:numPr>
          <w:ilvl w:val="1"/>
          <w:numId w:val="3"/>
        </w:numPr>
        <w:spacing w:before="0" w:after="200" w:line="276" w:lineRule="auto"/>
        <w:contextualSpacing w:val="0"/>
        <w:rPr>
          <w:b/>
          <w:i/>
          <w:iCs/>
        </w:rPr>
      </w:pPr>
      <w:bookmarkStart w:id="1" w:name="_Hlk212467019"/>
      <w:r w:rsidRPr="00E673FE">
        <w:rPr>
          <w:b/>
          <w:i/>
          <w:iCs/>
        </w:rPr>
        <w:t>Gendered roles, relationships and social norms within the WFMs space</w:t>
      </w:r>
    </w:p>
    <w:bookmarkEnd w:id="1"/>
    <w:p w14:paraId="6669583D" w14:textId="03161FE6" w:rsidR="00E57BF6" w:rsidRPr="00E673FE" w:rsidRDefault="00E57BF6" w:rsidP="00F82067">
      <w:pPr>
        <w:rPr>
          <w:lang w:eastAsia="zh-CN"/>
        </w:rPr>
      </w:pPr>
      <w:r w:rsidRPr="00E673FE">
        <w:rPr>
          <w:lang w:eastAsia="zh-CN"/>
        </w:rPr>
        <w:t xml:space="preserve">Our conversations revealed that women’s participation in WFMs is influenced by gender roles, social expectations, and historical practices, which collectively define the opportunities and limits within these retail spaces. A key aspect is women’s involvement in sourcing food items for sale in WFMs, which is both active and strategic. They source from permanent markets like Kariakoo, Ilala, and </w:t>
      </w:r>
      <w:proofErr w:type="spellStart"/>
      <w:r w:rsidRPr="00E673FE">
        <w:rPr>
          <w:lang w:eastAsia="zh-CN"/>
        </w:rPr>
        <w:t>Mabibo</w:t>
      </w:r>
      <w:proofErr w:type="spellEnd"/>
      <w:r w:rsidRPr="00E673FE">
        <w:rPr>
          <w:lang w:eastAsia="zh-CN"/>
        </w:rPr>
        <w:t xml:space="preserve">, as well as from small urban farms. This approach helps them ensure quality, buy manageable quantities, and build relationships for better prices. At </w:t>
      </w:r>
      <w:proofErr w:type="spellStart"/>
      <w:r w:rsidRPr="00E673FE">
        <w:rPr>
          <w:lang w:eastAsia="zh-CN"/>
        </w:rPr>
        <w:t>Mgeninani</w:t>
      </w:r>
      <w:proofErr w:type="spellEnd"/>
      <w:r w:rsidRPr="00E673FE">
        <w:rPr>
          <w:lang w:eastAsia="zh-CN"/>
        </w:rPr>
        <w:t xml:space="preserve"> market, vendors highlighted women’s direct involvement and collaboration in transporting goods:</w:t>
      </w:r>
    </w:p>
    <w:p w14:paraId="747F9321" w14:textId="73CA6927" w:rsidR="00364EA2" w:rsidRPr="00E673FE" w:rsidRDefault="00E57BF6" w:rsidP="00F1710F">
      <w:pPr>
        <w:pStyle w:val="Quote"/>
        <w:spacing w:after="200"/>
        <w:contextualSpacing w:val="0"/>
        <w:rPr>
          <w:color w:val="000000"/>
          <w:lang w:eastAsia="zh-CN"/>
          <w14:textFill>
            <w14:solidFill>
              <w14:srgbClr w14:val="000000">
                <w14:lumMod w14:val="95000"/>
                <w14:lumOff w14:val="5000"/>
                <w14:lumMod w14:val="75000"/>
                <w14:lumOff w14:val="25000"/>
              </w14:srgbClr>
            </w14:solidFill>
          </w14:textFill>
        </w:rPr>
      </w:pPr>
      <w:r w:rsidRPr="00E673FE">
        <w:rPr>
          <w:color w:val="000000"/>
          <w:lang w:eastAsia="zh-CN"/>
          <w14:textFill>
            <w14:solidFill>
              <w14:srgbClr w14:val="000000">
                <w14:lumMod w14:val="95000"/>
                <w14:lumOff w14:val="5000"/>
                <w14:lumMod w14:val="75000"/>
                <w14:lumOff w14:val="25000"/>
              </w14:srgbClr>
            </w14:solidFill>
          </w14:textFill>
        </w:rPr>
        <w:t>We (women) go ourselves to the primary markets and other sourcing points to source the goods. We carry what we can, and also help to load onto motorbikes (Toyo), which transport the goods to our marketing locations.</w:t>
      </w:r>
    </w:p>
    <w:p w14:paraId="6B316CD8" w14:textId="7B51C6DB" w:rsidR="00364EA2" w:rsidRPr="00E673FE" w:rsidRDefault="00E57BF6" w:rsidP="00F82067">
      <w:r w:rsidRPr="00E673FE">
        <w:rPr>
          <w:lang w:eastAsia="zh-CN"/>
        </w:rPr>
        <w:t xml:space="preserve">Further, sourcing of produce from small-scale farms comes with logistical challenges. Collecting and loading goods takes long hours, and coordinating multiple sourcing points adds to the workload. This is particularly hard to balance for women traders who are expected to also shoulder household care responsibilities. Despite this, vendors said that sourcing </w:t>
      </w:r>
      <w:r w:rsidRPr="00E673FE">
        <w:rPr>
          <w:lang w:eastAsia="zh-CN"/>
        </w:rPr>
        <w:lastRenderedPageBreak/>
        <w:t>typically happens individually, at a personal pace, with both men and women actively involved. Women mainly handle organizational and financial arrangements and make sure produce is packed, accounted for, and paid for before giving it to porters, trolley pushers, or transport units (</w:t>
      </w:r>
      <w:proofErr w:type="spellStart"/>
      <w:r w:rsidRPr="00E673FE">
        <w:rPr>
          <w:lang w:eastAsia="zh-CN"/>
        </w:rPr>
        <w:t>Vitengo</w:t>
      </w:r>
      <w:proofErr w:type="spellEnd"/>
      <w:r w:rsidRPr="00E673FE">
        <w:rPr>
          <w:lang w:eastAsia="zh-CN"/>
        </w:rPr>
        <w:t>). This helps ensure that goods reach their destinations efficiently. One vendor at Tabata-</w:t>
      </w:r>
      <w:proofErr w:type="spellStart"/>
      <w:r w:rsidRPr="00E673FE">
        <w:rPr>
          <w:lang w:eastAsia="zh-CN"/>
        </w:rPr>
        <w:t>Kimanga</w:t>
      </w:r>
      <w:proofErr w:type="spellEnd"/>
      <w:r w:rsidRPr="00E673FE">
        <w:rPr>
          <w:lang w:eastAsia="zh-CN"/>
        </w:rPr>
        <w:t xml:space="preserve"> described</w:t>
      </w:r>
      <w:r w:rsidRPr="00E673FE">
        <w:t xml:space="preserve">: </w:t>
      </w:r>
    </w:p>
    <w:p w14:paraId="62298C5C" w14:textId="77777777" w:rsidR="00364EA2" w:rsidRPr="00E673FE" w:rsidRDefault="00000000" w:rsidP="00F1710F">
      <w:pPr>
        <w:pStyle w:val="Quote"/>
        <w:spacing w:after="200"/>
        <w:contextualSpacing w:val="0"/>
        <w:rPr>
          <w:color w:val="000000"/>
          <w14:textFill>
            <w14:solidFill>
              <w14:srgbClr w14:val="000000">
                <w14:lumMod w14:val="95000"/>
                <w14:lumOff w14:val="5000"/>
                <w14:lumMod w14:val="75000"/>
                <w14:lumOff w14:val="25000"/>
              </w14:srgbClr>
            </w14:solidFill>
          </w14:textFill>
        </w:rPr>
      </w:pPr>
      <w:r w:rsidRPr="00E673FE">
        <w:rPr>
          <w:color w:val="000000"/>
          <w14:textFill>
            <w14:solidFill>
              <w14:srgbClr w14:val="000000">
                <w14:lumMod w14:val="95000"/>
                <w14:lumOff w14:val="5000"/>
                <w14:lumMod w14:val="75000"/>
                <w14:lumOff w14:val="25000"/>
              </w14:srgbClr>
            </w14:solidFill>
          </w14:textFill>
        </w:rPr>
        <w:t>In the evening, after business is done, we pack our goods. Another person, like this gentleman and our leaders, organize the goods into sections. Once I’ve packed my load, I put it on a trolley, pay 500 shillings, and they deliver it to the storage area. There, the goods are collected, and a truck (Fuso) is hired to take them to another market scheduled for the next day—like Bunju or Tungi. Everyone knows where their goods are supposed to go.</w:t>
      </w:r>
    </w:p>
    <w:p w14:paraId="6EFA82DB" w14:textId="217FEB54" w:rsidR="00364EA2" w:rsidRPr="00E673FE" w:rsidRDefault="00F1710F" w:rsidP="00F82067">
      <w:r w:rsidRPr="00E673FE">
        <w:t>These insights show that women’s contributions are essential but mostly shaped by a gender-based division of labor. Women coordinate and manage their sourcing and purchases of merchandise, while men take on physically demanding or supervisory roles. Further, cultural norms and historical practices further impact market participation. Although WFMs are not exclusively female spaces, decisions about what to sell often connect to capital, ability, and interest rather than strict gender roles. Vendors mentioned that vending is an adaptive livelihood, and that they change the type of merchandise they sell based on demand and earnings potential. Historical trends also affect participation. Men often began in hawking and retail first, with women coming in later and often focusing on food items related to household knowledge</w:t>
      </w:r>
      <w:r w:rsidR="00E57BF6" w:rsidRPr="00E673FE">
        <w:t xml:space="preserve">. An elder vendor at </w:t>
      </w:r>
      <w:proofErr w:type="spellStart"/>
      <w:r w:rsidR="00E57BF6" w:rsidRPr="00E673FE">
        <w:t>Mgeninani</w:t>
      </w:r>
      <w:proofErr w:type="spellEnd"/>
      <w:r w:rsidR="00E57BF6" w:rsidRPr="00E673FE">
        <w:t xml:space="preserve"> explained</w:t>
      </w:r>
      <w:r w:rsidRPr="00E673FE">
        <w:t xml:space="preserve">: </w:t>
      </w:r>
    </w:p>
    <w:p w14:paraId="41345BED" w14:textId="32D7F0AD" w:rsidR="00E57BF6" w:rsidRPr="00E673FE" w:rsidRDefault="00E57BF6" w:rsidP="00F1710F">
      <w:pPr>
        <w:pStyle w:val="Quote"/>
        <w:spacing w:after="200"/>
        <w:contextualSpacing w:val="0"/>
        <w:rPr>
          <w:color w:val="000000"/>
          <w:lang w:eastAsia="zh-CN"/>
          <w14:textFill>
            <w14:solidFill>
              <w14:srgbClr w14:val="000000">
                <w14:lumMod w14:val="95000"/>
                <w14:lumOff w14:val="5000"/>
                <w14:lumMod w14:val="75000"/>
                <w14:lumOff w14:val="25000"/>
              </w14:srgbClr>
            </w14:solidFill>
          </w14:textFill>
        </w:rPr>
      </w:pPr>
      <w:r w:rsidRPr="00E673FE">
        <w:rPr>
          <w:color w:val="000000"/>
          <w:lang w:eastAsia="zh-CN"/>
          <w14:textFill>
            <w14:solidFill>
              <w14:srgbClr w14:val="000000">
                <w14:lumMod w14:val="95000"/>
                <w14:lumOff w14:val="5000"/>
                <w14:lumMod w14:val="75000"/>
                <w14:lumOff w14:val="25000"/>
              </w14:srgbClr>
            </w14:solidFill>
          </w14:textFill>
        </w:rPr>
        <w:t xml:space="preserve">When these markets started, those selling </w:t>
      </w:r>
      <w:r w:rsidR="00F1710F" w:rsidRPr="00E673FE">
        <w:rPr>
          <w:color w:val="000000"/>
          <w:lang w:eastAsia="zh-CN"/>
          <w14:textFill>
            <w14:solidFill>
              <w14:srgbClr w14:val="000000">
                <w14:lumMod w14:val="95000"/>
                <w14:lumOff w14:val="5000"/>
                <w14:lumMod w14:val="75000"/>
                <w14:lumOff w14:val="25000"/>
              </w14:srgbClr>
            </w14:solidFill>
          </w14:textFill>
        </w:rPr>
        <w:t>food items</w:t>
      </w:r>
      <w:r w:rsidRPr="00E673FE">
        <w:rPr>
          <w:color w:val="000000"/>
          <w:lang w:eastAsia="zh-CN"/>
          <w14:textFill>
            <w14:solidFill>
              <w14:srgbClr w14:val="000000">
                <w14:lumMod w14:val="95000"/>
                <w14:lumOff w14:val="5000"/>
                <w14:lumMod w14:val="75000"/>
                <w14:lumOff w14:val="25000"/>
              </w14:srgbClr>
            </w14:solidFill>
          </w14:textFill>
        </w:rPr>
        <w:t xml:space="preserve"> and </w:t>
      </w:r>
      <w:r w:rsidR="00F1710F" w:rsidRPr="00E673FE">
        <w:rPr>
          <w:color w:val="000000"/>
          <w:lang w:eastAsia="zh-CN"/>
          <w14:textFill>
            <w14:solidFill>
              <w14:srgbClr w14:val="000000">
                <w14:lumMod w14:val="95000"/>
                <w14:lumOff w14:val="5000"/>
                <w14:lumMod w14:val="75000"/>
                <w14:lumOff w14:val="25000"/>
              </w14:srgbClr>
            </w14:solidFill>
          </w14:textFill>
        </w:rPr>
        <w:t>other household items like kitchenware and second-hand clothes</w:t>
      </w:r>
      <w:r w:rsidRPr="00E673FE">
        <w:rPr>
          <w:color w:val="000000"/>
          <w:lang w:eastAsia="zh-CN"/>
          <w14:textFill>
            <w14:solidFill>
              <w14:srgbClr w14:val="000000">
                <w14:lumMod w14:val="95000"/>
                <w14:lumOff w14:val="5000"/>
                <w14:lumMod w14:val="75000"/>
                <w14:lumOff w14:val="25000"/>
              </w14:srgbClr>
            </w14:solidFill>
          </w14:textFill>
        </w:rPr>
        <w:t xml:space="preserve"> were men. They began with hawking and later transitioned to weekly markets. They started first, and women came in later. But when women found selling </w:t>
      </w:r>
      <w:r w:rsidR="00F1710F" w:rsidRPr="00E673FE">
        <w:rPr>
          <w:color w:val="000000"/>
          <w:lang w:eastAsia="zh-CN"/>
          <w14:textFill>
            <w14:solidFill>
              <w14:srgbClr w14:val="000000">
                <w14:lumMod w14:val="95000"/>
                <w14:lumOff w14:val="5000"/>
                <w14:lumMod w14:val="75000"/>
                <w14:lumOff w14:val="25000"/>
              </w14:srgbClr>
            </w14:solidFill>
          </w14:textFill>
        </w:rPr>
        <w:t>non-food items</w:t>
      </w:r>
      <w:r w:rsidRPr="00E673FE">
        <w:rPr>
          <w:color w:val="000000"/>
          <w:lang w:eastAsia="zh-CN"/>
          <w14:textFill>
            <w14:solidFill>
              <w14:srgbClr w14:val="000000">
                <w14:lumMod w14:val="95000"/>
                <w14:lumOff w14:val="5000"/>
                <w14:lumMod w14:val="75000"/>
                <w14:lumOff w14:val="25000"/>
              </w14:srgbClr>
            </w14:solidFill>
          </w14:textFill>
        </w:rPr>
        <w:t xml:space="preserve"> tough and full of challenges, </w:t>
      </w:r>
      <w:r w:rsidR="00F1710F" w:rsidRPr="00E673FE">
        <w:rPr>
          <w:color w:val="000000"/>
          <w:lang w:eastAsia="zh-CN"/>
          <w14:textFill>
            <w14:solidFill>
              <w14:srgbClr w14:val="000000">
                <w14:lumMod w14:val="95000"/>
                <w14:lumOff w14:val="5000"/>
                <w14:lumMod w14:val="75000"/>
                <w14:lumOff w14:val="25000"/>
              </w14:srgbClr>
            </w14:solidFill>
          </w14:textFill>
        </w:rPr>
        <w:t>most switched</w:t>
      </w:r>
      <w:r w:rsidRPr="00E673FE">
        <w:rPr>
          <w:color w:val="000000"/>
          <w:lang w:eastAsia="zh-CN"/>
          <w14:textFill>
            <w14:solidFill>
              <w14:srgbClr w14:val="000000">
                <w14:lumMod w14:val="95000"/>
                <w14:lumOff w14:val="5000"/>
                <w14:lumMod w14:val="75000"/>
                <w14:lumOff w14:val="25000"/>
              </w14:srgbClr>
            </w14:solidFill>
          </w14:textFill>
        </w:rPr>
        <w:t xml:space="preserve"> to food items. They found it more familiar since they’re used to kitchen-related items. Now, any woman coming in prefers to focus on the food business.</w:t>
      </w:r>
    </w:p>
    <w:p w14:paraId="0DB3E470" w14:textId="1272DBB5" w:rsidR="00E57BF6" w:rsidRPr="00E673FE" w:rsidRDefault="00F1710F" w:rsidP="00F82067">
      <w:pPr>
        <w:rPr>
          <w:lang w:eastAsia="zh-CN"/>
        </w:rPr>
      </w:pPr>
      <w:r w:rsidRPr="00E673FE">
        <w:rPr>
          <w:lang w:eastAsia="zh-CN"/>
        </w:rPr>
        <w:t xml:space="preserve">Social and demographic factors, especially marital status and age, shape women’s participation and experiences in WFMs, as they interact with gender norms and household structures to influence women’s independence, available time, and decision-making power. Insights from the FGDs reveal that unmarried and younger women have comparatively more freedom to organize their workdays, movement from one market to another, and manage their earnings without needing to negotiate or explain themselves to family members. In contrast, married women’s involvement is often linked to domestic duties and relationships with their spouses. The long hours typical of WFMs, combined with traveling between different market locations, often create tensions within the households, particularly when returning late contradicts social norms about women being present domestically. </w:t>
      </w:r>
      <w:r w:rsidR="00E57BF6" w:rsidRPr="00E673FE">
        <w:rPr>
          <w:lang w:eastAsia="zh-CN"/>
        </w:rPr>
        <w:t xml:space="preserve">A married female vendor from </w:t>
      </w:r>
      <w:proofErr w:type="spellStart"/>
      <w:r w:rsidR="00E57BF6" w:rsidRPr="00E673FE">
        <w:rPr>
          <w:lang w:eastAsia="zh-CN"/>
        </w:rPr>
        <w:t>Kunduchi</w:t>
      </w:r>
      <w:proofErr w:type="spellEnd"/>
      <w:r w:rsidR="00E57BF6" w:rsidRPr="00E673FE">
        <w:rPr>
          <w:lang w:eastAsia="zh-CN"/>
        </w:rPr>
        <w:t xml:space="preserve"> recounted:</w:t>
      </w:r>
    </w:p>
    <w:p w14:paraId="69F20F8A" w14:textId="46A7F3AE" w:rsidR="00E57BF6" w:rsidRPr="00E673FE" w:rsidRDefault="00E57BF6" w:rsidP="00F1710F">
      <w:pPr>
        <w:pStyle w:val="Quote"/>
        <w:spacing w:after="200"/>
        <w:contextualSpacing w:val="0"/>
        <w:rPr>
          <w:color w:val="000000"/>
          <w:lang w:eastAsia="zh-CN"/>
          <w14:textFill>
            <w14:solidFill>
              <w14:srgbClr w14:val="000000">
                <w14:lumMod w14:val="95000"/>
                <w14:lumOff w14:val="5000"/>
                <w14:lumMod w14:val="75000"/>
                <w14:lumOff w14:val="25000"/>
              </w14:srgbClr>
            </w14:solidFill>
          </w14:textFill>
        </w:rPr>
      </w:pPr>
      <w:r w:rsidRPr="00E673FE">
        <w:rPr>
          <w:color w:val="000000"/>
          <w:lang w:eastAsia="zh-CN"/>
          <w14:textFill>
            <w14:solidFill>
              <w14:srgbClr w14:val="000000">
                <w14:lumMod w14:val="95000"/>
                <w14:lumOff w14:val="5000"/>
                <w14:lumMod w14:val="75000"/>
                <w14:lumOff w14:val="25000"/>
              </w14:srgbClr>
            </w14:solidFill>
          </w14:textFill>
        </w:rPr>
        <w:t xml:space="preserve">I live in </w:t>
      </w:r>
      <w:proofErr w:type="spellStart"/>
      <w:r w:rsidRPr="00E673FE">
        <w:rPr>
          <w:color w:val="000000"/>
          <w:lang w:eastAsia="zh-CN"/>
          <w14:textFill>
            <w14:solidFill>
              <w14:srgbClr w14:val="000000">
                <w14:lumMod w14:val="95000"/>
                <w14:lumOff w14:val="5000"/>
                <w14:lumMod w14:val="75000"/>
                <w14:lumOff w14:val="25000"/>
              </w14:srgbClr>
            </w14:solidFill>
          </w14:textFill>
        </w:rPr>
        <w:t>Tegeta</w:t>
      </w:r>
      <w:proofErr w:type="spellEnd"/>
      <w:r w:rsidRPr="00E673FE">
        <w:rPr>
          <w:color w:val="000000"/>
          <w:lang w:eastAsia="zh-CN"/>
          <w14:textFill>
            <w14:solidFill>
              <w14:srgbClr w14:val="000000">
                <w14:lumMod w14:val="95000"/>
                <w14:lumOff w14:val="5000"/>
                <w14:lumMod w14:val="75000"/>
                <w14:lumOff w14:val="25000"/>
              </w14:srgbClr>
            </w14:solidFill>
          </w14:textFill>
        </w:rPr>
        <w:t xml:space="preserve">—from </w:t>
      </w:r>
      <w:proofErr w:type="spellStart"/>
      <w:r w:rsidRPr="00E673FE">
        <w:rPr>
          <w:color w:val="000000"/>
          <w:lang w:eastAsia="zh-CN"/>
          <w14:textFill>
            <w14:solidFill>
              <w14:srgbClr w14:val="000000">
                <w14:lumMod w14:val="95000"/>
                <w14:lumOff w14:val="5000"/>
                <w14:lumMod w14:val="75000"/>
                <w14:lumOff w14:val="25000"/>
              </w14:srgbClr>
            </w14:solidFill>
          </w14:textFill>
        </w:rPr>
        <w:t>Nyuki</w:t>
      </w:r>
      <w:proofErr w:type="spellEnd"/>
      <w:r w:rsidRPr="00E673FE">
        <w:rPr>
          <w:color w:val="000000"/>
          <w:lang w:eastAsia="zh-CN"/>
          <w14:textFill>
            <w14:solidFill>
              <w14:srgbClr w14:val="000000">
                <w14:lumMod w14:val="95000"/>
                <w14:lumOff w14:val="5000"/>
                <w14:lumMod w14:val="75000"/>
                <w14:lumOff w14:val="25000"/>
              </w14:srgbClr>
            </w14:solidFill>
          </w14:textFill>
        </w:rPr>
        <w:t xml:space="preserve"> WFM to home, I get there by 9 PM. Then my husband wonders, ‘Why are you arriving at this hour?’ One day he came to the </w:t>
      </w:r>
      <w:r w:rsidR="00F1710F" w:rsidRPr="00E673FE">
        <w:rPr>
          <w:color w:val="000000"/>
          <w:lang w:eastAsia="zh-CN"/>
          <w14:textFill>
            <w14:solidFill>
              <w14:srgbClr w14:val="000000">
                <w14:lumMod w14:val="95000"/>
                <w14:lumOff w14:val="5000"/>
                <w14:lumMod w14:val="75000"/>
                <w14:lumOff w14:val="25000"/>
              </w14:srgbClr>
            </w14:solidFill>
          </w14:textFill>
        </w:rPr>
        <w:t>market</w:t>
      </w:r>
      <w:r w:rsidRPr="00E673FE">
        <w:rPr>
          <w:color w:val="000000"/>
          <w:lang w:eastAsia="zh-CN"/>
          <w14:textFill>
            <w14:solidFill>
              <w14:srgbClr w14:val="000000">
                <w14:lumMod w14:val="95000"/>
                <w14:lumOff w14:val="5000"/>
                <w14:lumMod w14:val="75000"/>
                <w14:lumOff w14:val="25000"/>
              </w14:srgbClr>
            </w14:solidFill>
          </w14:textFill>
        </w:rPr>
        <w:t xml:space="preserve"> and saw how long it takes to wrap up, and how we walked slowly to </w:t>
      </w:r>
      <w:proofErr w:type="spellStart"/>
      <w:r w:rsidRPr="00E673FE">
        <w:rPr>
          <w:color w:val="000000"/>
          <w:lang w:eastAsia="zh-CN"/>
          <w14:textFill>
            <w14:solidFill>
              <w14:srgbClr w14:val="000000">
                <w14:lumMod w14:val="95000"/>
                <w14:lumOff w14:val="5000"/>
                <w14:lumMod w14:val="75000"/>
                <w14:lumOff w14:val="25000"/>
              </w14:srgbClr>
            </w14:solidFill>
          </w14:textFill>
        </w:rPr>
        <w:t>Tegeta</w:t>
      </w:r>
      <w:proofErr w:type="spellEnd"/>
      <w:r w:rsidRPr="00E673FE">
        <w:rPr>
          <w:color w:val="000000"/>
          <w:lang w:eastAsia="zh-CN"/>
          <w14:textFill>
            <w14:solidFill>
              <w14:srgbClr w14:val="000000">
                <w14:lumMod w14:val="95000"/>
                <w14:lumOff w14:val="5000"/>
                <w14:lumMod w14:val="75000"/>
                <w14:lumOff w14:val="25000"/>
              </w14:srgbClr>
            </w14:solidFill>
          </w14:textFill>
        </w:rPr>
        <w:t>. He got tired and never asked again. For me, that was a challenge. Now I close by 10 or 11 PM, by midnight I’m home. But I balance—within the week, I make time to clean</w:t>
      </w:r>
      <w:r w:rsidR="00F1710F" w:rsidRPr="00E673FE">
        <w:rPr>
          <w:color w:val="000000"/>
          <w:lang w:eastAsia="zh-CN"/>
          <w14:textFill>
            <w14:solidFill>
              <w14:srgbClr w14:val="000000">
                <w14:lumMod w14:val="95000"/>
                <w14:lumOff w14:val="5000"/>
                <w14:lumMod w14:val="75000"/>
                <w14:lumOff w14:val="25000"/>
              </w14:srgbClr>
            </w14:solidFill>
          </w14:textFill>
        </w:rPr>
        <w:t xml:space="preserve"> and attend other household chores</w:t>
      </w:r>
      <w:r w:rsidRPr="00E673FE">
        <w:rPr>
          <w:color w:val="000000"/>
          <w:lang w:eastAsia="zh-CN"/>
          <w14:textFill>
            <w14:solidFill>
              <w14:srgbClr w14:val="000000">
                <w14:lumMod w14:val="95000"/>
                <w14:lumOff w14:val="5000"/>
                <w14:lumMod w14:val="75000"/>
                <w14:lumOff w14:val="25000"/>
              </w14:srgbClr>
            </w14:solidFill>
          </w14:textFill>
        </w:rPr>
        <w:t>—it’s just a routine.</w:t>
      </w:r>
    </w:p>
    <w:p w14:paraId="6A142B40" w14:textId="569FFF04" w:rsidR="00E57BF6" w:rsidRPr="00E673FE" w:rsidRDefault="00F1710F" w:rsidP="00F82067">
      <w:pPr>
        <w:rPr>
          <w:lang w:eastAsia="zh-CN"/>
        </w:rPr>
      </w:pPr>
      <w:r w:rsidRPr="00E673FE">
        <w:rPr>
          <w:lang w:eastAsia="zh-CN"/>
        </w:rPr>
        <w:lastRenderedPageBreak/>
        <w:t>Further, s</w:t>
      </w:r>
      <w:r w:rsidR="00E57BF6" w:rsidRPr="00E673FE">
        <w:rPr>
          <w:lang w:eastAsia="zh-CN"/>
        </w:rPr>
        <w:t xml:space="preserve">ocietal expectations that </w:t>
      </w:r>
      <w:r w:rsidRPr="00E673FE">
        <w:rPr>
          <w:lang w:eastAsia="zh-CN"/>
        </w:rPr>
        <w:t>associate</w:t>
      </w:r>
      <w:r w:rsidR="00E57BF6" w:rsidRPr="00E673FE">
        <w:rPr>
          <w:lang w:eastAsia="zh-CN"/>
        </w:rPr>
        <w:t xml:space="preserve"> women to domestic roles further limit </w:t>
      </w:r>
      <w:r w:rsidRPr="00E673FE">
        <w:rPr>
          <w:lang w:eastAsia="zh-CN"/>
        </w:rPr>
        <w:t xml:space="preserve">the roles played within the WFMs space. This is especially true when childcare and household duties are fully their responsibility. </w:t>
      </w:r>
      <w:r w:rsidR="00E57BF6" w:rsidRPr="00E673FE">
        <w:rPr>
          <w:lang w:eastAsia="zh-CN"/>
        </w:rPr>
        <w:t>One female vendor noted:</w:t>
      </w:r>
    </w:p>
    <w:p w14:paraId="05F24BC0" w14:textId="77777777" w:rsidR="00E57BF6" w:rsidRPr="00E673FE" w:rsidRDefault="00E57BF6" w:rsidP="00F1710F">
      <w:pPr>
        <w:pStyle w:val="Quote"/>
        <w:spacing w:after="200"/>
        <w:contextualSpacing w:val="0"/>
        <w:rPr>
          <w:color w:val="000000"/>
          <w14:textFill>
            <w14:solidFill>
              <w14:srgbClr w14:val="000000">
                <w14:lumMod w14:val="95000"/>
                <w14:lumOff w14:val="5000"/>
                <w14:lumMod w14:val="75000"/>
                <w14:lumOff w14:val="25000"/>
              </w14:srgbClr>
            </w14:solidFill>
          </w14:textFill>
        </w:rPr>
      </w:pPr>
      <w:r w:rsidRPr="00E673FE">
        <w:rPr>
          <w:lang w:eastAsia="zh-CN"/>
        </w:rPr>
        <w:t>If I don’t have a helper at home, I can’t come to the market—I have to stay home with the children, especially when I have</w:t>
      </w:r>
      <w:r w:rsidRPr="00E673FE">
        <w:rPr>
          <w:color w:val="000000"/>
          <w14:textFill>
            <w14:solidFill>
              <w14:srgbClr w14:val="000000">
                <w14:lumMod w14:val="95000"/>
                <w14:lumOff w14:val="5000"/>
                <w14:lumMod w14:val="75000"/>
                <w14:lumOff w14:val="25000"/>
              </w14:srgbClr>
            </w14:solidFill>
          </w14:textFill>
        </w:rPr>
        <w:t xml:space="preserve"> a young child.</w:t>
      </w:r>
    </w:p>
    <w:p w14:paraId="115486EA" w14:textId="276E557E" w:rsidR="00E57BF6" w:rsidRPr="00E673FE" w:rsidRDefault="00E57BF6" w:rsidP="00F1710F">
      <w:pPr>
        <w:spacing w:before="0" w:after="200"/>
      </w:pPr>
      <w:r w:rsidRPr="00E673FE">
        <w:t xml:space="preserve">Encouragingly, </w:t>
      </w:r>
      <w:r w:rsidR="00F1710F" w:rsidRPr="00E673FE">
        <w:t>Gender norms are slowly changing. Men are taking on tasks that have often been seen as women’s work, like cooking and childcare. At the same time, women are entering jobs that have traditionally been held by men</w:t>
      </w:r>
      <w:r w:rsidRPr="00E673FE">
        <w:t>. An elderly male vendor reflected:</w:t>
      </w:r>
    </w:p>
    <w:p w14:paraId="6A065B54" w14:textId="77777777" w:rsidR="00E57BF6" w:rsidRPr="00E673FE" w:rsidRDefault="00E57BF6" w:rsidP="00F1710F">
      <w:pPr>
        <w:pStyle w:val="Quote"/>
        <w:spacing w:after="200"/>
        <w:contextualSpacing w:val="0"/>
        <w:rPr>
          <w:color w:val="000000"/>
          <w:lang w:eastAsia="zh-CN"/>
          <w14:textFill>
            <w14:solidFill>
              <w14:srgbClr w14:val="000000">
                <w14:lumMod w14:val="95000"/>
                <w14:lumOff w14:val="5000"/>
                <w14:lumMod w14:val="75000"/>
                <w14:lumOff w14:val="25000"/>
              </w14:srgbClr>
            </w14:solidFill>
          </w14:textFill>
        </w:rPr>
      </w:pPr>
      <w:r w:rsidRPr="00E673FE">
        <w:rPr>
          <w:rStyle w:val="QuoteChar"/>
          <w:color w:val="000000"/>
          <w:lang w:val="en-US"/>
          <w14:textFill>
            <w14:solidFill>
              <w14:srgbClr w14:val="000000">
                <w14:lumMod w14:val="95000"/>
                <w14:lumOff w14:val="5000"/>
                <w14:lumMod w14:val="75000"/>
                <w14:lumOff w14:val="25000"/>
              </w14:srgbClr>
            </w14:solidFill>
          </w14:textFill>
        </w:rPr>
        <w:t>Nowadays customs have loosened… the man washes his wife’s clothes, washes the child’s clothes… I enter the kitchen to cook, because when I cook, it doesn’t mean my manhood will leave, I’m helping my wife.</w:t>
      </w:r>
    </w:p>
    <w:p w14:paraId="3E868C29" w14:textId="1E76E4A9" w:rsidR="00E57BF6" w:rsidRPr="00E673FE" w:rsidRDefault="00E57BF6" w:rsidP="00F1710F">
      <w:pPr>
        <w:pStyle w:val="Quote"/>
        <w:spacing w:after="200"/>
        <w:ind w:left="0"/>
        <w:contextualSpacing w:val="0"/>
        <w:rPr>
          <w:iCs w:val="0"/>
          <w:color w:val="000000"/>
          <w:sz w:val="24"/>
          <w:lang w:eastAsia="zh-CN"/>
          <w14:textFill>
            <w14:solidFill>
              <w14:srgbClr w14:val="000000">
                <w14:lumMod w14:val="95000"/>
                <w14:lumOff w14:val="5000"/>
                <w14:lumMod w14:val="75000"/>
                <w14:lumOff w14:val="25000"/>
              </w14:srgbClr>
            </w14:solidFill>
          </w14:textFill>
        </w:rPr>
      </w:pPr>
      <w:r w:rsidRPr="00E673FE">
        <w:rPr>
          <w:iCs w:val="0"/>
          <w:color w:val="000000"/>
          <w:sz w:val="24"/>
          <w:lang w:eastAsia="zh-CN"/>
          <w14:textFill>
            <w14:solidFill>
              <w14:srgbClr w14:val="000000">
                <w14:lumMod w14:val="95000"/>
                <w14:lumOff w14:val="5000"/>
                <w14:lumMod w14:val="75000"/>
                <w14:lumOff w14:val="25000"/>
              </w14:srgbClr>
            </w14:solidFill>
          </w14:textFill>
        </w:rPr>
        <w:t xml:space="preserve">These narratives illustrate </w:t>
      </w:r>
      <w:r w:rsidR="00F1710F" w:rsidRPr="00E673FE">
        <w:rPr>
          <w:iCs w:val="0"/>
          <w:color w:val="000000"/>
          <w:sz w:val="24"/>
          <w:lang w:eastAsia="zh-CN"/>
          <w14:textFill>
            <w14:solidFill>
              <w14:srgbClr w14:val="000000">
                <w14:lumMod w14:val="95000"/>
                <w14:lumOff w14:val="5000"/>
                <w14:lumMod w14:val="75000"/>
                <w14:lumOff w14:val="25000"/>
              </w14:srgbClr>
            </w14:solidFill>
          </w14:textFill>
        </w:rPr>
        <w:t>how gender roles are negotiated in households and WFMs, highlighting adaptive strategies women use to remain involved, even with social and cultural challenges.</w:t>
      </w:r>
    </w:p>
    <w:p w14:paraId="134183B0" w14:textId="77777777" w:rsidR="00364EA2" w:rsidRPr="00E673FE" w:rsidRDefault="00364EA2">
      <w:pPr>
        <w:rPr>
          <w:lang w:eastAsia="zh-CN"/>
        </w:rPr>
      </w:pPr>
    </w:p>
    <w:p w14:paraId="5365AADD" w14:textId="35853606" w:rsidR="00364EA2" w:rsidRPr="00E673FE" w:rsidRDefault="00000000" w:rsidP="00F1710F">
      <w:pPr>
        <w:pStyle w:val="ListParagraph"/>
        <w:numPr>
          <w:ilvl w:val="1"/>
          <w:numId w:val="3"/>
        </w:numPr>
        <w:spacing w:line="276" w:lineRule="auto"/>
        <w:rPr>
          <w:b/>
          <w:bCs/>
        </w:rPr>
      </w:pPr>
      <w:bookmarkStart w:id="2" w:name="_Hlk212467031"/>
      <w:r w:rsidRPr="00E673FE">
        <w:rPr>
          <w:b/>
          <w:bCs/>
          <w:i/>
          <w:iCs/>
        </w:rPr>
        <w:t xml:space="preserve">Institutional </w:t>
      </w:r>
      <w:r w:rsidR="00F1710F" w:rsidRPr="00E673FE">
        <w:rPr>
          <w:b/>
          <w:bCs/>
          <w:i/>
          <w:iCs/>
        </w:rPr>
        <w:t xml:space="preserve">contexts shaping women’s engagement in the WFMs </w:t>
      </w:r>
    </w:p>
    <w:bookmarkEnd w:id="2"/>
    <w:p w14:paraId="2C341772" w14:textId="21201EDB" w:rsidR="00364EA2" w:rsidRPr="00E673FE" w:rsidRDefault="00F1710F" w:rsidP="00F82067">
      <w:pPr>
        <w:rPr>
          <w:lang w:eastAsia="zh-CN"/>
        </w:rPr>
      </w:pPr>
      <w:r w:rsidRPr="00E673FE">
        <w:rPr>
          <w:lang w:eastAsia="zh-CN"/>
        </w:rPr>
        <w:t xml:space="preserve">Women’s engagement in WFMs is connected to various institutional contexts that shape how they organize, trade, and find opportunities. At the household level, women’s involvement is closely linked to care work and family duties. Our findings show that women, especially those with young children, struggle to balance unpaid domestic tasks with the demands of market trading. Many vendors mentioned bringing their children to the market, placing them in shaded areas, or carrying them while they worked. Single mothers pointed out the risk of relying only on market income, where missing a trading day directly impacts household welfare. On their part, married women often talked about needing to negotiate market hours and responsibilities with their partners, showing that women’s participation in the market often relies on support and cooperation at home. </w:t>
      </w:r>
      <w:bookmarkStart w:id="3" w:name="_Hlk211672595"/>
      <w:r w:rsidRPr="00E673FE">
        <w:rPr>
          <w:lang w:eastAsia="zh-CN"/>
        </w:rPr>
        <w:t>A female vendor from Tabata-</w:t>
      </w:r>
      <w:proofErr w:type="spellStart"/>
      <w:r w:rsidRPr="00E673FE">
        <w:rPr>
          <w:lang w:eastAsia="zh-CN"/>
        </w:rPr>
        <w:t>Kimanga</w:t>
      </w:r>
      <w:proofErr w:type="spellEnd"/>
      <w:r w:rsidRPr="00E673FE">
        <w:rPr>
          <w:lang w:eastAsia="zh-CN"/>
        </w:rPr>
        <w:t xml:space="preserve"> market summarized this challenge:</w:t>
      </w:r>
    </w:p>
    <w:p w14:paraId="657440F6" w14:textId="77777777" w:rsidR="00364EA2" w:rsidRPr="00E673FE" w:rsidRDefault="00000000">
      <w:pPr>
        <w:pStyle w:val="Quote"/>
        <w:rPr>
          <w:rStyle w:val="QuoteChar"/>
          <w:color w:val="000000"/>
          <w:lang w:val="en-US" w:eastAsia="zh-CN"/>
          <w14:textFill>
            <w14:solidFill>
              <w14:srgbClr w14:val="000000">
                <w14:lumMod w14:val="95000"/>
                <w14:lumOff w14:val="5000"/>
                <w14:lumMod w14:val="75000"/>
                <w14:lumOff w14:val="25000"/>
              </w14:srgbClr>
            </w14:solidFill>
          </w14:textFill>
        </w:rPr>
      </w:pPr>
      <w:r w:rsidRPr="00E673FE">
        <w:rPr>
          <w:rStyle w:val="QuoteChar"/>
          <w:color w:val="000000"/>
          <w:lang w:val="en-US" w:eastAsia="zh-CN"/>
          <w14:textFill>
            <w14:solidFill>
              <w14:srgbClr w14:val="000000">
                <w14:lumMod w14:val="95000"/>
                <w14:lumOff w14:val="5000"/>
                <w14:lumMod w14:val="75000"/>
                <w14:lumOff w14:val="25000"/>
              </w14:srgbClr>
            </w14:solidFill>
          </w14:textFill>
        </w:rPr>
        <w:t>If I don’t have a helper at home, I can’t come to the market—I have to stay with the children, especially when I have a young child. For example, I currently have a one-year-old, and on those days, I don’t come at all or I have to bring my child here to the market, not often—only when it’s really necessary.</w:t>
      </w:r>
    </w:p>
    <w:bookmarkEnd w:id="3"/>
    <w:p w14:paraId="667D9FC9" w14:textId="573063AD" w:rsidR="00F1710F" w:rsidRPr="00E673FE" w:rsidRDefault="00F1710F" w:rsidP="00F82067">
      <w:pPr>
        <w:rPr>
          <w:lang w:eastAsia="zh-CN"/>
        </w:rPr>
      </w:pPr>
      <w:r w:rsidRPr="00E673FE">
        <w:rPr>
          <w:lang w:eastAsia="zh-CN"/>
        </w:rPr>
        <w:t>Such experiences show that childcare responsibilities are not just logistical constraints but are tied to social and cultural expectations that place women in the main caregiving role. This situation limits their ability to work regular hours, grow their business, or take on leadership positions within market associations.</w:t>
      </w:r>
    </w:p>
    <w:p w14:paraId="08DCC303" w14:textId="11E89EE8" w:rsidR="00364EA2" w:rsidRPr="00E673FE" w:rsidRDefault="00F1710F" w:rsidP="00F82067">
      <w:pPr>
        <w:rPr>
          <w:rStyle w:val="QuoteChar"/>
          <w:lang w:val="en-US"/>
        </w:rPr>
      </w:pPr>
      <w:bookmarkStart w:id="4" w:name="_Hlk211672624"/>
      <w:r w:rsidRPr="00E673FE">
        <w:rPr>
          <w:lang w:eastAsia="zh-CN"/>
        </w:rPr>
        <w:t xml:space="preserve">At the community level, informal vendor associations and women’s groups play an important role in sustaining market participation. These provide spaces for support, information sharing, savings, and solving problems together, thereby helping to create a sense of belonging among traders. However, despite their social importance, these groups rarely get formal recognition in the governance structures of WFMs. As a result, their influence over decision-making and </w:t>
      </w:r>
      <w:r w:rsidRPr="00E673FE">
        <w:rPr>
          <w:lang w:eastAsia="zh-CN"/>
        </w:rPr>
        <w:lastRenderedPageBreak/>
        <w:t xml:space="preserve">rule enforcement is limited. Further, most leadership roles in these markets is male-dominated, which reflects ongoing cultural norms that link authority and public representation to men. Many women shared that juggling domestic duties and trading leaves them with little time to take part in market leadership or manage associations. Additionally, procedural barriers, such as needing long-term membership, specific registration status, or consistent attendance, further limit their chances of being elected to leadership positions. As a result, women mainly serve in supportive roles or on committees rather than in key decision-making positions. As one woman vendor in </w:t>
      </w:r>
      <w:proofErr w:type="spellStart"/>
      <w:r w:rsidRPr="00E673FE">
        <w:rPr>
          <w:lang w:eastAsia="zh-CN"/>
        </w:rPr>
        <w:t>Kigamboni</w:t>
      </w:r>
      <w:proofErr w:type="spellEnd"/>
      <w:r w:rsidRPr="00E673FE">
        <w:rPr>
          <w:lang w:eastAsia="zh-CN"/>
        </w:rPr>
        <w:t>-Tungi market opined</w:t>
      </w:r>
      <w:r w:rsidRPr="00E673FE">
        <w:rPr>
          <w:rFonts w:eastAsia="Times New Roman" w:cs="Times New Roman"/>
          <w:kern w:val="0"/>
          <w:lang w:eastAsia="zh-CN"/>
          <w14:ligatures w14:val="none"/>
        </w:rPr>
        <w:t>:</w:t>
      </w:r>
    </w:p>
    <w:p w14:paraId="183206C9" w14:textId="77777777" w:rsidR="00364EA2" w:rsidRPr="00E673FE" w:rsidRDefault="00000000">
      <w:pPr>
        <w:pStyle w:val="Quote"/>
        <w:rPr>
          <w:rFonts w:eastAsia="Times New Roman" w:cs="Times New Roman"/>
          <w:color w:val="000000"/>
          <w:kern w:val="0"/>
          <w:lang w:eastAsia="zh-CN"/>
          <w14:textFill>
            <w14:solidFill>
              <w14:srgbClr w14:val="000000">
                <w14:lumMod w14:val="95000"/>
                <w14:lumOff w14:val="5000"/>
                <w14:lumMod w14:val="75000"/>
                <w14:lumOff w14:val="25000"/>
              </w14:srgbClr>
            </w14:solidFill>
          </w14:textFill>
          <w14:ligatures w14:val="none"/>
        </w:rPr>
      </w:pPr>
      <w:r w:rsidRPr="00E673FE">
        <w:rPr>
          <w:rStyle w:val="QuoteChar"/>
          <w:color w:val="000000"/>
          <w:lang w:val="en-US"/>
          <w14:textFill>
            <w14:solidFill>
              <w14:srgbClr w14:val="000000">
                <w14:lumMod w14:val="95000"/>
                <w14:lumOff w14:val="5000"/>
                <w14:lumMod w14:val="75000"/>
                <w14:lumOff w14:val="25000"/>
              </w14:srgbClr>
            </w14:solidFill>
          </w14:textFill>
        </w:rPr>
        <w:t xml:space="preserve">When you talk of </w:t>
      </w:r>
      <w:r w:rsidRPr="00E673FE">
        <w:rPr>
          <w:rStyle w:val="QuoteChar"/>
          <w:color w:val="000000"/>
          <w:lang w:val="en-US" w:eastAsia="zh-CN"/>
          <w14:textFill>
            <w14:solidFill>
              <w14:srgbClr w14:val="000000">
                <w14:lumMod w14:val="95000"/>
                <w14:lumOff w14:val="5000"/>
                <w14:lumMod w14:val="75000"/>
                <w14:lumOff w14:val="25000"/>
              </w14:srgbClr>
            </w14:solidFill>
          </w14:textFill>
        </w:rPr>
        <w:t>leadership—you know, I’m already a leader in my home. But here, in formal leadership, even if I wanted to be, you know, since the time of Adam and Eve, women have been seen as helpers. They say a woman cannot lead us. But thankfully, now we have a woman president and even a woman speaker of parliament. However, truthfully, during elections even here at the market, I haven’t seen them (men) include women like us. Also, another thing is that sometimes we women may not even vote for another woman—we tend to put ourselves down.</w:t>
      </w:r>
    </w:p>
    <w:p w14:paraId="523B0571" w14:textId="11CA7B80" w:rsidR="00364EA2" w:rsidRPr="00E673FE" w:rsidRDefault="00F1710F" w:rsidP="00F82067">
      <w:r w:rsidRPr="00E673FE">
        <w:t>This illustrates how gendered perceptions and self-limiting attitudes intersect to shape women’s exclusion from leadership roles, even within spaces where they form a significant share of the trading population.</w:t>
      </w:r>
    </w:p>
    <w:p w14:paraId="3D6E005F" w14:textId="1725CD0E" w:rsidR="00364EA2" w:rsidRPr="00E673FE" w:rsidRDefault="00F1710F" w:rsidP="00F82067">
      <w:pPr>
        <w:rPr>
          <w:lang w:eastAsia="zh-CN"/>
        </w:rPr>
      </w:pPr>
      <w:r w:rsidRPr="00E673FE">
        <w:t>Within the WFMs themselves, o</w:t>
      </w:r>
      <w:r w:rsidRPr="00E673FE">
        <w:rPr>
          <w:lang w:eastAsia="zh-CN"/>
        </w:rPr>
        <w:t>ur results show that governance structures, stall allocation systems, and leadership arrangements directly affect women’s opportunities for participation. Some markets have seen gradual inclusion of women as chairpersons, secretaries, or committee members. Yet, women’s representation remains limited, and where it exists, it often depends on encouragement or support from male counterparts. Many respondents, both male and female, linked this imbalance to women’s time constraints and the belief that they are less fit for leadership roles that need endurance and a public presence. A male vendor at Tabata-</w:t>
      </w:r>
      <w:proofErr w:type="spellStart"/>
      <w:r w:rsidRPr="00E673FE">
        <w:rPr>
          <w:lang w:eastAsia="zh-CN"/>
        </w:rPr>
        <w:t>Kimanga</w:t>
      </w:r>
      <w:proofErr w:type="spellEnd"/>
      <w:r w:rsidRPr="00E673FE">
        <w:rPr>
          <w:lang w:eastAsia="zh-CN"/>
        </w:rPr>
        <w:t xml:space="preserve"> market captured this duality, acknowledging the presence of women leaders while also hinting at their limitations:</w:t>
      </w:r>
    </w:p>
    <w:p w14:paraId="40112377" w14:textId="3ED4EF51" w:rsidR="00364EA2" w:rsidRPr="00E673FE" w:rsidRDefault="00000000">
      <w:pPr>
        <w:pStyle w:val="Quote"/>
        <w:rPr>
          <w:rFonts w:eastAsia="Times New Roman" w:cs="Times New Roman"/>
          <w:color w:val="000000"/>
          <w:kern w:val="0"/>
          <w:lang w:eastAsia="zh-CN"/>
          <w14:textFill>
            <w14:solidFill>
              <w14:srgbClr w14:val="000000">
                <w14:lumMod w14:val="95000"/>
                <w14:lumOff w14:val="5000"/>
                <w14:lumMod w14:val="75000"/>
                <w14:lumOff w14:val="25000"/>
              </w14:srgbClr>
            </w14:solidFill>
          </w14:textFill>
          <w14:ligatures w14:val="none"/>
        </w:rPr>
      </w:pPr>
      <w:r w:rsidRPr="00E673FE">
        <w:rPr>
          <w:rStyle w:val="QuoteChar"/>
          <w:color w:val="000000"/>
          <w:lang w:val="en-US" w:eastAsia="zh-CN"/>
          <w14:textFill>
            <w14:solidFill>
              <w14:srgbClr w14:val="000000">
                <w14:lumMod w14:val="95000"/>
                <w14:lumOff w14:val="5000"/>
                <w14:lumMod w14:val="75000"/>
                <w14:lumOff w14:val="25000"/>
              </w14:srgbClr>
            </w14:solidFill>
          </w14:textFill>
        </w:rPr>
        <w:t xml:space="preserve">In leadership here, women are </w:t>
      </w:r>
      <w:r w:rsidR="00F1710F" w:rsidRPr="00E673FE">
        <w:rPr>
          <w:rStyle w:val="QuoteChar"/>
          <w:color w:val="000000"/>
          <w:lang w:val="en-US" w:eastAsia="zh-CN"/>
          <w14:textFill>
            <w14:solidFill>
              <w14:srgbClr w14:val="000000">
                <w14:lumMod w14:val="95000"/>
                <w14:lumOff w14:val="5000"/>
                <w14:lumMod w14:val="75000"/>
                <w14:lumOff w14:val="25000"/>
              </w14:srgbClr>
            </w14:solidFill>
          </w14:textFill>
        </w:rPr>
        <w:t>to some extent</w:t>
      </w:r>
      <w:r w:rsidRPr="00E673FE">
        <w:rPr>
          <w:rStyle w:val="QuoteChar"/>
          <w:color w:val="000000"/>
          <w:lang w:val="en-US" w:eastAsia="zh-CN"/>
          <w14:textFill>
            <w14:solidFill>
              <w14:srgbClr w14:val="000000">
                <w14:lumMod w14:val="95000"/>
                <w14:lumOff w14:val="5000"/>
                <w14:lumMod w14:val="75000"/>
                <w14:lumOff w14:val="25000"/>
              </w14:srgbClr>
            </w14:solidFill>
          </w14:textFill>
        </w:rPr>
        <w:t xml:space="preserve"> involved. Elections are held and women are not discriminated against. We have women chairpersons and secretaries. If a man misbehaves, a woman leader can direct and correct him. Currently we have three women leaders and six men. So it’s not exactly 50/50… like I said before, women tend to avoid hardship. The few who are leaders were encouraged to step forward.</w:t>
      </w:r>
    </w:p>
    <w:bookmarkEnd w:id="4"/>
    <w:p w14:paraId="6C8A55BC" w14:textId="22968399" w:rsidR="00364EA2" w:rsidRPr="00E673FE" w:rsidRDefault="00F1710F" w:rsidP="00F82067">
      <w:r w:rsidRPr="00E673FE">
        <w:t>Despite some notable progress, gendered expectations continue to influence how leadership is perceived and enacted. Women also face challenges related to stall allocation, payment of fees, and exposure to harassment, particularly during late trading hours. These dynamics reinforce the structural disadvantages women encounter within market governance.</w:t>
      </w:r>
    </w:p>
    <w:p w14:paraId="45A1FF6C" w14:textId="77777777" w:rsidR="00F1710F" w:rsidRPr="00E673FE" w:rsidRDefault="00F1710F"/>
    <w:p w14:paraId="1207EE68" w14:textId="3A19B82A" w:rsidR="00364EA2" w:rsidRPr="00E673FE" w:rsidRDefault="00F1710F" w:rsidP="00F1710F">
      <w:pPr>
        <w:pStyle w:val="ListParagraph"/>
        <w:numPr>
          <w:ilvl w:val="1"/>
          <w:numId w:val="3"/>
        </w:numPr>
        <w:spacing w:line="276" w:lineRule="auto"/>
        <w:rPr>
          <w:b/>
          <w:bCs/>
          <w:i/>
          <w:iCs/>
        </w:rPr>
      </w:pPr>
      <w:bookmarkStart w:id="5" w:name="_Hlk212467043"/>
      <w:r w:rsidRPr="00E673FE">
        <w:rPr>
          <w:b/>
          <w:bCs/>
          <w:i/>
          <w:iCs/>
        </w:rPr>
        <w:t>Gender-responsive policies and the functioning of WFMs</w:t>
      </w:r>
    </w:p>
    <w:bookmarkEnd w:id="5"/>
    <w:p w14:paraId="3E78FDC0" w14:textId="65FD92A7" w:rsidR="00364EA2" w:rsidRPr="00E673FE" w:rsidRDefault="00F1710F" w:rsidP="00F82067">
      <w:r w:rsidRPr="00E673FE">
        <w:t xml:space="preserve">Building on the gendered dynamics of roles, responsibilities, and social norms within WFMs, our data indicate that institutional and regulatory frameworks further influence women’s participation. Analyzing municipal by-laws across </w:t>
      </w:r>
      <w:proofErr w:type="spellStart"/>
      <w:r w:rsidRPr="00E673FE">
        <w:t>Ubungo</w:t>
      </w:r>
      <w:proofErr w:type="spellEnd"/>
      <w:r w:rsidRPr="00E673FE">
        <w:t xml:space="preserve">, Temeke, and </w:t>
      </w:r>
      <w:proofErr w:type="spellStart"/>
      <w:r w:rsidRPr="00E673FE">
        <w:t>Kigamboni</w:t>
      </w:r>
      <w:proofErr w:type="spellEnd"/>
      <w:r w:rsidRPr="00E673FE">
        <w:t>, along with insights from FGDs with women traders, reveals that these regulations often use gender-neutral language. As a result, they are essentially gender-blind (</w:t>
      </w:r>
      <w:proofErr w:type="spellStart"/>
      <w:r w:rsidRPr="00E673FE">
        <w:t>GoT</w:t>
      </w:r>
      <w:proofErr w:type="spellEnd"/>
      <w:r w:rsidRPr="00E673FE">
        <w:t xml:space="preserve">, 2018; </w:t>
      </w:r>
      <w:proofErr w:type="spellStart"/>
      <w:r w:rsidRPr="00E673FE">
        <w:t>GoT</w:t>
      </w:r>
      <w:proofErr w:type="spellEnd"/>
      <w:r w:rsidRPr="00E673FE">
        <w:t xml:space="preserve">, 2019; </w:t>
      </w:r>
      <w:proofErr w:type="spellStart"/>
      <w:r w:rsidRPr="00E673FE">
        <w:t>GoT</w:t>
      </w:r>
      <w:proofErr w:type="spellEnd"/>
      <w:r w:rsidRPr="00E673FE">
        <w:t xml:space="preserve">, </w:t>
      </w:r>
      <w:r w:rsidRPr="00E673FE">
        <w:lastRenderedPageBreak/>
        <w:t>2022). While requirements for permits, registration, and renewal are applied equally to all traders, women participants reported that these procedures often pose challenges due to unpaid care work, limited mobility, and restricted time or access to complete administrative requirements. Similarly, standardized market fees and taxes, which are based on stall size or product type, are seen as disproportionately burdensome for women running small-scale or low-margin businesses. Further, contributions toward services such as water, sanitation, and electricity are formally equal, yet women noted that lower or irregular earnings intensify the relative burden. Equally important, provisions related to market operations, including fire safety, night trading, and general security, do not address women-specific constraints, such as safe mobility or childcare responsibilities.</w:t>
      </w:r>
    </w:p>
    <w:p w14:paraId="4EE51972" w14:textId="77777777" w:rsidR="00347A2C" w:rsidRDefault="00F1710F" w:rsidP="00F82067">
      <w:r w:rsidRPr="00E673FE">
        <w:t>FGD discussions and document reviews further highlight that formal structures for governance,</w:t>
      </w:r>
      <w:r w:rsidRPr="00E673FE">
        <w:rPr>
          <w:rFonts w:ascii="Arial" w:hAnsi="Arial" w:cs="Arial"/>
          <w:color w:val="1F243C"/>
          <w:sz w:val="21"/>
          <w:szCs w:val="21"/>
          <w:shd w:val="clear" w:color="auto" w:fill="FFFFFF"/>
        </w:rPr>
        <w:t xml:space="preserve"> </w:t>
      </w:r>
      <w:r w:rsidRPr="00E673FE">
        <w:t xml:space="preserve">like stakeholder committees and sub-committees, create chances for women to participate, but they are limited in practice. Procedural rules, including long-standing membership or prior registration, combined with domestic responsibilities and time constraints, reduce women’s capacity to engage meaningfully in leadership or decision-making. </w:t>
      </w:r>
      <w:r w:rsidR="00347A2C">
        <w:t>Reflecting this aspect, a</w:t>
      </w:r>
      <w:r w:rsidR="00347A2C" w:rsidRPr="00347A2C">
        <w:t xml:space="preserve"> female vendor at </w:t>
      </w:r>
      <w:proofErr w:type="spellStart"/>
      <w:r w:rsidR="00347A2C" w:rsidRPr="00347A2C">
        <w:t>Mgeninani</w:t>
      </w:r>
      <w:proofErr w:type="spellEnd"/>
      <w:r w:rsidR="00347A2C" w:rsidRPr="00347A2C">
        <w:t xml:space="preserve"> </w:t>
      </w:r>
      <w:r w:rsidR="00347A2C">
        <w:t>noted:</w:t>
      </w:r>
    </w:p>
    <w:p w14:paraId="1B927540" w14:textId="40F560A9" w:rsidR="00347A2C" w:rsidRDefault="00347A2C" w:rsidP="00347A2C">
      <w:pPr>
        <w:pStyle w:val="Quote"/>
      </w:pPr>
      <w:r>
        <w:t xml:space="preserve">As women, we </w:t>
      </w:r>
      <w:r w:rsidRPr="00347A2C">
        <w:t>are busy with work both here at the market and at hom</w:t>
      </w:r>
      <w:r>
        <w:t xml:space="preserve">e, and </w:t>
      </w:r>
      <w:r w:rsidRPr="00347A2C">
        <w:t>that is why we are less concerned with leadership….</w:t>
      </w:r>
    </w:p>
    <w:p w14:paraId="4FF87865" w14:textId="57B6656F" w:rsidR="00F1710F" w:rsidRDefault="00F1710F" w:rsidP="00F82067">
      <w:r w:rsidRPr="00E673FE">
        <w:t xml:space="preserve">Women participants often observed that council-led, top-down management does not provide targeted support for women traders, and there are no systems in place to address structural disadvantages or redistribute opportunities. The absence of gender-redistributive measures, such as childcare facilities, women-friendly sanitation, flexible trading hours, or leadership training, emerged repeatedly in both FGDs and regulatory documents as a significant gap. While women can participate formally and contribute equally to revenue, these gender-blind </w:t>
      </w:r>
      <w:r w:rsidR="00325A21">
        <w:t>regulations</w:t>
      </w:r>
      <w:r w:rsidRPr="00E673FE">
        <w:t xml:space="preserve"> and deep-rooted social norms still limit their agency and ability to fully benefit from market participation.</w:t>
      </w:r>
    </w:p>
    <w:p w14:paraId="2F943E12" w14:textId="77777777" w:rsidR="00347A2C" w:rsidRPr="00E673FE" w:rsidRDefault="00347A2C" w:rsidP="00347A2C">
      <w:pPr>
        <w:spacing w:line="276" w:lineRule="auto"/>
        <w:rPr>
          <w:bCs/>
        </w:rPr>
      </w:pPr>
    </w:p>
    <w:p w14:paraId="42AB7AF4" w14:textId="0FDF3781" w:rsidR="00364EA2" w:rsidRPr="00E673FE" w:rsidRDefault="00F1710F" w:rsidP="00F1710F">
      <w:pPr>
        <w:pStyle w:val="ListParagraph"/>
        <w:numPr>
          <w:ilvl w:val="1"/>
          <w:numId w:val="3"/>
        </w:numPr>
        <w:spacing w:line="276" w:lineRule="auto"/>
        <w:rPr>
          <w:bCs/>
        </w:rPr>
      </w:pPr>
      <w:bookmarkStart w:id="6" w:name="_Hlk212467050"/>
      <w:r w:rsidRPr="00E673FE">
        <w:rPr>
          <w:b/>
          <w:bCs/>
          <w:i/>
          <w:iCs/>
        </w:rPr>
        <w:t>Women’s economic and wellbeing outcomes in WFMs</w:t>
      </w:r>
    </w:p>
    <w:bookmarkEnd w:id="6"/>
    <w:p w14:paraId="47F3FE55" w14:textId="5250E36C" w:rsidR="00364EA2" w:rsidRPr="00E673FE" w:rsidRDefault="00F1710F" w:rsidP="00F82067">
      <w:r w:rsidRPr="00E673FE">
        <w:t xml:space="preserve">Findings from interviews and FGDs demonstrate participating in WFMs significantly improves women’s immediate earnings and their ability to grow financially over time. Women vendors reported that the income from these markets has been instrumental in covering daily household expenses like food, transportation, and children’s education. The rotating weekly structure of these markets exposes vendors to new customers and builds loyalty, leading to more stable sales. Many women testified that they started with a small </w:t>
      </w:r>
      <w:proofErr w:type="spellStart"/>
      <w:r w:rsidRPr="00E673FE">
        <w:t>captital</w:t>
      </w:r>
      <w:proofErr w:type="spellEnd"/>
      <w:r w:rsidRPr="00E673FE">
        <w:t xml:space="preserve"> but gradually grew their businesses, reflecting steady financial growth. One vendor from </w:t>
      </w:r>
      <w:proofErr w:type="spellStart"/>
      <w:r w:rsidRPr="00E673FE">
        <w:t>Mgeninani</w:t>
      </w:r>
      <w:proofErr w:type="spellEnd"/>
      <w:r w:rsidRPr="00E673FE">
        <w:t xml:space="preserve"> shared:</w:t>
      </w:r>
    </w:p>
    <w:p w14:paraId="7670D9A5" w14:textId="04317C2E" w:rsidR="00364EA2" w:rsidRPr="00E673FE" w:rsidRDefault="00000000">
      <w:pPr>
        <w:pStyle w:val="Quote"/>
        <w:rPr>
          <w:color w:val="000000"/>
          <w:lang w:eastAsia="zh-CN"/>
          <w14:textFill>
            <w14:solidFill>
              <w14:srgbClr w14:val="000000">
                <w14:lumMod w14:val="95000"/>
                <w14:lumOff w14:val="5000"/>
                <w14:lumMod w14:val="75000"/>
                <w14:lumOff w14:val="25000"/>
              </w14:srgbClr>
            </w14:solidFill>
          </w14:textFill>
        </w:rPr>
      </w:pPr>
      <w:r w:rsidRPr="00E673FE">
        <w:rPr>
          <w:color w:val="000000"/>
          <w:lang w:eastAsia="zh-CN"/>
          <w14:textFill>
            <w14:solidFill>
              <w14:srgbClr w14:val="000000">
                <w14:lumMod w14:val="95000"/>
                <w14:lumOff w14:val="5000"/>
                <w14:lumMod w14:val="75000"/>
                <w14:lumOff w14:val="25000"/>
              </w14:srgbClr>
            </w14:solidFill>
          </w14:textFill>
        </w:rPr>
        <w:t>I’ve been in business for about 20 years… It’s not that I had a big starting capital; I began with little, slowly by slowly, and I thank God I’ve reached where I am.</w:t>
      </w:r>
    </w:p>
    <w:p w14:paraId="625A75D1" w14:textId="4CF59FE9" w:rsidR="00364EA2" w:rsidRPr="00E673FE" w:rsidRDefault="00F1710F" w:rsidP="00F82067">
      <w:pPr>
        <w:rPr>
          <w:lang w:eastAsia="zh-CN"/>
        </w:rPr>
      </w:pPr>
      <w:r w:rsidRPr="00E673FE">
        <w:rPr>
          <w:lang w:eastAsia="zh-CN"/>
        </w:rPr>
        <w:t xml:space="preserve">In addition to immediate earnings, women pointed out other benefits, like lower credit risks compared to permanent markets, the ability to buy in bulk, and the flexibility to change their sales based on demand. Male vendors also shared that they have seen women progress in </w:t>
      </w:r>
      <w:r w:rsidRPr="00E673FE">
        <w:rPr>
          <w:lang w:eastAsia="zh-CN"/>
        </w:rPr>
        <w:lastRenderedPageBreak/>
        <w:t xml:space="preserve">their trading, and attest that women’s income improves overall household well-being, showing social acknowledgment of their economic contributions. </w:t>
      </w:r>
    </w:p>
    <w:p w14:paraId="574352C0" w14:textId="562B69A2" w:rsidR="00364EA2" w:rsidRPr="00E673FE" w:rsidRDefault="00F1710F" w:rsidP="00F82067">
      <w:pPr>
        <w:rPr>
          <w:lang w:eastAsia="zh-CN"/>
        </w:rPr>
      </w:pPr>
      <w:r w:rsidRPr="00E673FE">
        <w:rPr>
          <w:lang w:eastAsia="zh-CN"/>
        </w:rPr>
        <w:t xml:space="preserve">Participation in WFMs also contributes to women’s broader economic security by providing protection against financial instability and enabling investments in long-term assets such as housing, land, and children’s education. Vendors emphasized that market earnings support both daily needs and future plans, helping households weather fluctuations in partner income or other shocks. A widow from </w:t>
      </w:r>
      <w:proofErr w:type="spellStart"/>
      <w:r w:rsidRPr="00E673FE">
        <w:rPr>
          <w:lang w:eastAsia="zh-CN"/>
        </w:rPr>
        <w:t>Kigamboni</w:t>
      </w:r>
      <w:proofErr w:type="spellEnd"/>
      <w:r w:rsidRPr="00E673FE">
        <w:rPr>
          <w:lang w:eastAsia="zh-CN"/>
        </w:rPr>
        <w:t xml:space="preserve"> described her experience:</w:t>
      </w:r>
    </w:p>
    <w:p w14:paraId="4CCA74AE" w14:textId="77777777" w:rsidR="00364EA2" w:rsidRPr="00E673FE" w:rsidRDefault="00000000">
      <w:pPr>
        <w:pStyle w:val="Quote"/>
        <w:rPr>
          <w:color w:val="000000"/>
          <w:lang w:eastAsia="zh-CN"/>
          <w14:textFill>
            <w14:solidFill>
              <w14:srgbClr w14:val="000000">
                <w14:lumMod w14:val="95000"/>
                <w14:lumOff w14:val="5000"/>
                <w14:lumMod w14:val="75000"/>
                <w14:lumOff w14:val="25000"/>
              </w14:srgbClr>
            </w14:solidFill>
          </w14:textFill>
        </w:rPr>
      </w:pPr>
      <w:r w:rsidRPr="00E673FE">
        <w:rPr>
          <w:color w:val="000000"/>
          <w:lang w:eastAsia="zh-CN"/>
          <w14:textFill>
            <w14:solidFill>
              <w14:srgbClr w14:val="000000">
                <w14:lumMod w14:val="95000"/>
                <w14:lumOff w14:val="5000"/>
                <w14:lumMod w14:val="75000"/>
                <w14:lumOff w14:val="25000"/>
              </w14:srgbClr>
            </w14:solidFill>
          </w14:textFill>
        </w:rPr>
        <w:t>I thank God I’ve done business for a very long time. Given my age, I’ve been in business for years. I started with drying sardines in the sun, then selling vegetables in a basin, and I sold at Ilala for nine years. I once did business here in the market and earned up to one million shillings in a month.</w:t>
      </w:r>
    </w:p>
    <w:p w14:paraId="1FEC383D" w14:textId="6626A2F2" w:rsidR="00F1710F" w:rsidRPr="00E673FE" w:rsidRDefault="00F1710F" w:rsidP="00F82067">
      <w:r w:rsidRPr="00E673FE">
        <w:t xml:space="preserve">Further insights from FGDs indicate that steadily building capital not only boosts financial independence but also strengthens women’s resilience against unexpected household challenges. Single mothers and widows, in particular, say they benefit from being able to support themselves and their children. Women navigate multiple social and cultural challenges including childcare, household negotiations, and expectations about finances—as they use WFMs to achieve economic stability, demonstrating both immediate security and ongoing control over their resources. </w:t>
      </w:r>
    </w:p>
    <w:p w14:paraId="7C32A18E" w14:textId="336F76FA" w:rsidR="00364EA2" w:rsidRPr="00E673FE" w:rsidRDefault="00F1710F" w:rsidP="00F82067">
      <w:pPr>
        <w:rPr>
          <w:lang w:eastAsia="zh-CN"/>
        </w:rPr>
      </w:pPr>
      <w:r w:rsidRPr="00E673FE">
        <w:t xml:space="preserve">Another important outcome noted is personal autonomy and decision-making. Involvement in WFMs is seen to increase women’s autonomy, giving them more control over household decisions and personal priorities. Income from market activities enables women to manage spending on food, education, and other household needs independently, while also supporting shared financial plans with their spouses. Married women reported negotiating responsibilities and planning budgets together to ensure that market income fits with their partner's contributions. Similarly, single women and widows noted the freedom to control resources according to their own priorities without needing approval. A vendor from </w:t>
      </w:r>
      <w:proofErr w:type="spellStart"/>
      <w:r w:rsidRPr="00E673FE">
        <w:t>Kibamba</w:t>
      </w:r>
      <w:proofErr w:type="spellEnd"/>
      <w:r w:rsidRPr="00E673FE">
        <w:t xml:space="preserve"> said:</w:t>
      </w:r>
    </w:p>
    <w:p w14:paraId="3D6CC696" w14:textId="53CF629F" w:rsidR="00364EA2" w:rsidRPr="00E673FE" w:rsidRDefault="00000000">
      <w:pPr>
        <w:pStyle w:val="Quote"/>
        <w:rPr>
          <w:color w:val="000000"/>
          <w:lang w:eastAsia="zh-CN"/>
          <w14:textFill>
            <w14:solidFill>
              <w14:srgbClr w14:val="000000">
                <w14:lumMod w14:val="95000"/>
                <w14:lumOff w14:val="5000"/>
                <w14:lumMod w14:val="75000"/>
                <w14:lumOff w14:val="25000"/>
              </w14:srgbClr>
            </w14:solidFill>
          </w14:textFill>
        </w:rPr>
      </w:pPr>
      <w:r w:rsidRPr="00E673FE">
        <w:rPr>
          <w:color w:val="000000"/>
          <w:lang w:eastAsia="zh-CN"/>
          <w14:textFill>
            <w14:solidFill>
              <w14:srgbClr w14:val="000000">
                <w14:lumMod w14:val="95000"/>
                <w14:lumOff w14:val="5000"/>
                <w14:lumMod w14:val="75000"/>
                <w14:lumOff w14:val="25000"/>
              </w14:srgbClr>
            </w14:solidFill>
          </w14:textFill>
        </w:rPr>
        <w:t xml:space="preserve">"I thank God that I now have big capital. I order onions, tomatoes, carrots—anything I want, I order because I have the money in my pocket. I </w:t>
      </w:r>
      <w:r w:rsidR="00F1710F" w:rsidRPr="00E673FE">
        <w:rPr>
          <w:color w:val="000000"/>
          <w:lang w:eastAsia="zh-CN"/>
          <w14:textFill>
            <w14:solidFill>
              <w14:srgbClr w14:val="000000">
                <w14:lumMod w14:val="95000"/>
                <w14:lumOff w14:val="5000"/>
                <w14:lumMod w14:val="75000"/>
                <w14:lumOff w14:val="25000"/>
              </w14:srgbClr>
            </w14:solidFill>
          </w14:textFill>
        </w:rPr>
        <w:t xml:space="preserve">take care of my home, </w:t>
      </w:r>
      <w:r w:rsidRPr="00E673FE">
        <w:rPr>
          <w:color w:val="000000"/>
          <w:lang w:eastAsia="zh-CN"/>
          <w14:textFill>
            <w14:solidFill>
              <w14:srgbClr w14:val="000000">
                <w14:lumMod w14:val="95000"/>
                <w14:lumOff w14:val="5000"/>
                <w14:lumMod w14:val="75000"/>
                <w14:lumOff w14:val="25000"/>
              </w14:srgbClr>
            </w14:solidFill>
          </w14:textFill>
        </w:rPr>
        <w:t>eat good food at home, and I can change meals whenever I want. I thank God for that.</w:t>
      </w:r>
    </w:p>
    <w:p w14:paraId="6AF6D24D" w14:textId="4CBBA9A1" w:rsidR="00364EA2" w:rsidRPr="00E673FE" w:rsidRDefault="00F1710F" w:rsidP="00F82067">
      <w:pPr>
        <w:rPr>
          <w:lang w:eastAsia="zh-CN"/>
        </w:rPr>
      </w:pPr>
      <w:r w:rsidRPr="00E673FE">
        <w:rPr>
          <w:lang w:eastAsia="zh-CN"/>
        </w:rPr>
        <w:t>Beyond managing resources, participation builds confidence in decision-making, business risk management, and navigating social settings often controlled by men. Vendors also described how they apply their autonomy in household negotiations, caring for children, and engaging in community decisions, illustrating the broader empowerment that WFMs offer. Equally important, i</w:t>
      </w:r>
      <w:r w:rsidRPr="00E673FE">
        <w:t xml:space="preserve">nvolvement in WFMs positively impacts women’s overall wellbeing, including economic, social, and psychological aspects. Women reported acquiring housing, land, and savings, supporting both immediate household needs and long-term family security. A widow in </w:t>
      </w:r>
      <w:proofErr w:type="spellStart"/>
      <w:r w:rsidRPr="00E673FE">
        <w:t>Kigamboni</w:t>
      </w:r>
      <w:proofErr w:type="spellEnd"/>
      <w:r w:rsidRPr="00E673FE">
        <w:t xml:space="preserve"> explained:</w:t>
      </w:r>
    </w:p>
    <w:p w14:paraId="19EEBEC0" w14:textId="77777777" w:rsidR="00364EA2" w:rsidRPr="00E673FE" w:rsidRDefault="00000000">
      <w:pPr>
        <w:pStyle w:val="Quote"/>
        <w:rPr>
          <w:color w:val="000000"/>
          <w:lang w:eastAsia="zh-CN"/>
          <w14:textFill>
            <w14:solidFill>
              <w14:srgbClr w14:val="000000">
                <w14:lumMod w14:val="95000"/>
                <w14:lumOff w14:val="5000"/>
                <w14:lumMod w14:val="75000"/>
                <w14:lumOff w14:val="25000"/>
              </w14:srgbClr>
            </w14:solidFill>
          </w14:textFill>
        </w:rPr>
      </w:pPr>
      <w:r w:rsidRPr="00E673FE">
        <w:rPr>
          <w:color w:val="000000"/>
          <w:lang w:eastAsia="zh-CN"/>
          <w14:textFill>
            <w14:solidFill>
              <w14:srgbClr w14:val="000000">
                <w14:lumMod w14:val="95000"/>
                <w14:lumOff w14:val="5000"/>
                <w14:lumMod w14:val="75000"/>
                <w14:lumOff w14:val="25000"/>
              </w14:srgbClr>
            </w14:solidFill>
          </w14:textFill>
        </w:rPr>
        <w:t>The benefits I’ve gained from this market include buying a plot of land and building two rooms, which I expanded to five. I’ve even built another house worth 25 million TZS. I also have some money in the bank which I want to use to open another business. This business has profits, but it also has challenges. I’ve also managed to educate and raise my children well.</w:t>
      </w:r>
    </w:p>
    <w:p w14:paraId="75F44058" w14:textId="221A5199" w:rsidR="00364EA2" w:rsidRPr="00E673FE" w:rsidRDefault="00F1710F" w:rsidP="00F82067">
      <w:r w:rsidRPr="00E673FE">
        <w:lastRenderedPageBreak/>
        <w:t>Lastly, social networks formed through WFMs create mutual support systems, enabling vendors to cope with illness, grief, or temporary absence while fostering community solidarity. Women's stories show that WFMs provide not just financial stability but also dignity, resilience, and stronger relationships within households and communities. This highlights the many ways these markets support women's overall wellbeing.</w:t>
      </w:r>
    </w:p>
    <w:p w14:paraId="365570C5" w14:textId="77777777" w:rsidR="00364EA2" w:rsidRPr="00E673FE" w:rsidRDefault="00000000">
      <w:pPr>
        <w:pStyle w:val="Heading1"/>
        <w:numPr>
          <w:ilvl w:val="0"/>
          <w:numId w:val="1"/>
        </w:numPr>
        <w:rPr>
          <w:rFonts w:ascii="Times New Roman" w:hAnsi="Times New Roman" w:cs="Times New Roman"/>
          <w:b/>
          <w:bCs/>
          <w:color w:val="auto"/>
          <w:sz w:val="24"/>
          <w:szCs w:val="24"/>
        </w:rPr>
      </w:pPr>
      <w:r w:rsidRPr="00E673FE">
        <w:rPr>
          <w:rFonts w:ascii="Times New Roman" w:hAnsi="Times New Roman" w:cs="Times New Roman"/>
          <w:b/>
          <w:bCs/>
          <w:color w:val="auto"/>
          <w:sz w:val="24"/>
          <w:szCs w:val="24"/>
        </w:rPr>
        <w:t>Discussion</w:t>
      </w:r>
    </w:p>
    <w:p w14:paraId="2A81D492" w14:textId="77777777" w:rsidR="00750B60" w:rsidRDefault="00750B60" w:rsidP="00F82067">
      <w:pPr>
        <w:rPr>
          <w:shd w:val="clear" w:color="auto" w:fill="FFFFFF"/>
        </w:rPr>
      </w:pPr>
      <w:r w:rsidRPr="00750B60">
        <w:rPr>
          <w:shd w:val="clear" w:color="auto" w:fill="FFFFFF"/>
        </w:rPr>
        <w:t>This study examined women’s involvement in WFMs. It focused on their motivations for trading in these spaces, the ways they engage in various market activities, and the social and institutional factors that influence their daily practices. The findings revealed three key areas: the different ways women participate in WFMs and the cultural and institutional factors that affect their involvement; the economic and well-being results of their engagement, especially regarding income generation, financial security, and personal independence; and how women negotiate challenges tied to gender norms and social views while seeking income opportunities. In this section, these aspects are discussed within the broader debates on gender, markets, and livelihoods in urban food systems.</w:t>
      </w:r>
    </w:p>
    <w:p w14:paraId="11C44A6B" w14:textId="3759B7F4" w:rsidR="00364EA2" w:rsidRPr="00E673FE" w:rsidRDefault="00000000">
      <w:pPr>
        <w:pStyle w:val="Heading1"/>
        <w:rPr>
          <w:rFonts w:ascii="Times New Roman" w:hAnsi="Times New Roman" w:cs="Times New Roman"/>
          <w:b/>
          <w:bCs/>
          <w:i/>
          <w:iCs/>
          <w:color w:val="auto"/>
          <w:sz w:val="24"/>
          <w:szCs w:val="24"/>
        </w:rPr>
      </w:pPr>
      <w:r w:rsidRPr="00E673FE">
        <w:rPr>
          <w:rFonts w:ascii="Times New Roman" w:hAnsi="Times New Roman" w:cs="Times New Roman"/>
          <w:b/>
          <w:bCs/>
          <w:i/>
          <w:iCs/>
          <w:color w:val="auto"/>
          <w:sz w:val="24"/>
          <w:szCs w:val="24"/>
        </w:rPr>
        <w:t xml:space="preserve">4.1 Women’s </w:t>
      </w:r>
      <w:r w:rsidR="00750B60">
        <w:rPr>
          <w:rFonts w:ascii="Times New Roman" w:hAnsi="Times New Roman" w:cs="Times New Roman"/>
          <w:b/>
          <w:bCs/>
          <w:i/>
          <w:iCs/>
          <w:color w:val="auto"/>
          <w:sz w:val="24"/>
          <w:szCs w:val="24"/>
        </w:rPr>
        <w:t xml:space="preserve">Motivation to </w:t>
      </w:r>
      <w:r w:rsidRPr="00E673FE">
        <w:rPr>
          <w:rFonts w:ascii="Times New Roman" w:hAnsi="Times New Roman" w:cs="Times New Roman"/>
          <w:b/>
          <w:bCs/>
          <w:i/>
          <w:iCs/>
          <w:color w:val="auto"/>
          <w:sz w:val="24"/>
          <w:szCs w:val="24"/>
        </w:rPr>
        <w:t>Participat</w:t>
      </w:r>
      <w:r w:rsidR="00750B60">
        <w:rPr>
          <w:rFonts w:ascii="Times New Roman" w:hAnsi="Times New Roman" w:cs="Times New Roman"/>
          <w:b/>
          <w:bCs/>
          <w:i/>
          <w:iCs/>
          <w:color w:val="auto"/>
          <w:sz w:val="24"/>
          <w:szCs w:val="24"/>
        </w:rPr>
        <w:t>e</w:t>
      </w:r>
      <w:r w:rsidRPr="00E673FE">
        <w:rPr>
          <w:rFonts w:ascii="Times New Roman" w:hAnsi="Times New Roman" w:cs="Times New Roman"/>
          <w:b/>
          <w:bCs/>
          <w:i/>
          <w:iCs/>
          <w:color w:val="auto"/>
          <w:sz w:val="24"/>
          <w:szCs w:val="24"/>
        </w:rPr>
        <w:t xml:space="preserve"> in WFMs </w:t>
      </w:r>
    </w:p>
    <w:p w14:paraId="014B18A5" w14:textId="77777777" w:rsidR="00750B60" w:rsidRPr="00B15167" w:rsidRDefault="00750B60" w:rsidP="00F82067">
      <w:pPr>
        <w:rPr>
          <w:lang w:val="de-DE"/>
        </w:rPr>
      </w:pPr>
      <w:r w:rsidRPr="00B15167">
        <w:rPr>
          <w:lang w:val="de-DE"/>
        </w:rPr>
        <w:t xml:space="preserve">Our FGDs showed that women participate in WFMs mainly to fulfill household and family responsibilities. This aligns with UN Women (2021), highlighting that women's involvement in the informal sector comes from limited chances in the formal economy. Single mothers, widows, and married women who bear the financial burden depend on market work for a daily income to pay for food, education, and basic needs. Similar observations in Ethiopia (Engidaw et al., 2024; Simachew et al., 2024) and Zimbabwe (Takaza &amp; Chitereka, 2022) point to poverty, unemployment, and economic need as major factors. However, vending also serves as a practical livelihood option that helps women build resilience and diversify over time. </w:t>
      </w:r>
    </w:p>
    <w:p w14:paraId="3FF04346" w14:textId="77777777" w:rsidR="00750B60" w:rsidRDefault="00750B60" w:rsidP="00F82067">
      <w:pPr>
        <w:rPr>
          <w:lang w:val="de-DE"/>
        </w:rPr>
      </w:pPr>
      <w:r w:rsidRPr="00B15167">
        <w:rPr>
          <w:lang w:val="de-DE"/>
        </w:rPr>
        <w:t xml:space="preserve">Beyond necessity, WFMs provide predictable income, with weekly customers reducing reliance on credit. This aspect deserves more attention in the literature, but evidence from Benassai-Dalmau et al. (2025, preprint) indicates that better market access improves vendor outcomes. Low entry barriers and little starting capital further promote participation, consistent with findings from Ghana (Engidaw et al., 2023). However, our findings suggest that WFMs are seen as both economically helpful and socially limiting. While they offer women accessible spaces to earn daily income and grow small businesses, deep-rooted gender norms and caregiving duties restrict how much women can take full advantage of these opportunities. This duality reflects broader gender dynamics in informal economies, where economic decisions are made alongside ongoing domestic expectations. As Mundy et al. (2023) demonstrate in Tanzania's value chains, caregiving roles influence how women negotiate their economic positions, reinforcing similar restrictions within WFMs. </w:t>
      </w:r>
    </w:p>
    <w:p w14:paraId="11AE4B68" w14:textId="7C764904" w:rsidR="00364EA2" w:rsidRPr="00E673FE" w:rsidRDefault="00000000">
      <w:pPr>
        <w:pStyle w:val="Heading1"/>
        <w:rPr>
          <w:rFonts w:ascii="Times New Roman" w:hAnsi="Times New Roman" w:cs="Times New Roman"/>
          <w:b/>
          <w:bCs/>
          <w:i/>
          <w:iCs/>
          <w:color w:val="auto"/>
          <w:sz w:val="24"/>
          <w:szCs w:val="24"/>
        </w:rPr>
      </w:pPr>
      <w:r w:rsidRPr="00E673FE">
        <w:rPr>
          <w:rFonts w:ascii="Times New Roman" w:hAnsi="Times New Roman" w:cs="Times New Roman"/>
          <w:b/>
          <w:bCs/>
          <w:i/>
          <w:iCs/>
          <w:color w:val="auto"/>
          <w:sz w:val="24"/>
          <w:szCs w:val="24"/>
        </w:rPr>
        <w:lastRenderedPageBreak/>
        <w:t xml:space="preserve">4.2 </w:t>
      </w:r>
      <w:r w:rsidR="00750B60">
        <w:rPr>
          <w:rFonts w:ascii="Times New Roman" w:hAnsi="Times New Roman" w:cs="Times New Roman"/>
          <w:b/>
          <w:bCs/>
          <w:i/>
          <w:iCs/>
          <w:color w:val="auto"/>
          <w:sz w:val="24"/>
          <w:szCs w:val="24"/>
        </w:rPr>
        <w:t>Women’s Participation in WFMs</w:t>
      </w:r>
    </w:p>
    <w:p w14:paraId="60DC2BB1" w14:textId="002D132D" w:rsidR="00750B60" w:rsidRPr="00750B60" w:rsidRDefault="00750B60" w:rsidP="00F82067">
      <w:pPr>
        <w:rPr>
          <w:lang w:val="en-GB"/>
        </w:rPr>
      </w:pPr>
      <w:r w:rsidRPr="00750B60">
        <w:rPr>
          <w:lang w:val="en-GB"/>
        </w:rPr>
        <w:t xml:space="preserve">Women’s participation in WFMs is varied by activity and </w:t>
      </w:r>
      <w:r w:rsidR="005B085E">
        <w:rPr>
          <w:lang w:val="en-GB"/>
        </w:rPr>
        <w:t xml:space="preserve">is seen to be </w:t>
      </w:r>
      <w:r w:rsidRPr="00750B60">
        <w:rPr>
          <w:lang w:val="en-GB"/>
        </w:rPr>
        <w:t xml:space="preserve">influenced by </w:t>
      </w:r>
      <w:r w:rsidR="005B085E">
        <w:rPr>
          <w:lang w:val="en-GB"/>
        </w:rPr>
        <w:t xml:space="preserve">a multiplicity of </w:t>
      </w:r>
      <w:r w:rsidRPr="00750B60">
        <w:rPr>
          <w:lang w:val="en-GB"/>
        </w:rPr>
        <w:t>constraints and opportunities. In sourcing, they obtain goods from permanent markets and urban farmers to ensure quality and affordability. They often work alone, but sometimes they collaborate in ways that lower costs and risks. Studies show a strong presence of women in food vending across sub-Saharan African cities (Davies et al., 2022; Giroux et al., 2021) and their increasing involvement in the informal markets of developing economies (</w:t>
      </w:r>
      <w:proofErr w:type="spellStart"/>
      <w:r w:rsidRPr="00750B60">
        <w:rPr>
          <w:lang w:val="en-GB"/>
        </w:rPr>
        <w:t>Ograh</w:t>
      </w:r>
      <w:proofErr w:type="spellEnd"/>
      <w:r w:rsidRPr="00750B60">
        <w:rPr>
          <w:lang w:val="en-GB"/>
        </w:rPr>
        <w:t xml:space="preserve"> et al., 2025). Our findings suggest that WFMs offer women accessible spaces to control the quality of goods and to participate in both individual and group sourcing. However, logistical challenges and household responsibilities limit their level of participation. This highlights how women’s economic agency in informal markets is often balanced against domestic duties, reflecting the gender dynamics in urban food trade.</w:t>
      </w:r>
    </w:p>
    <w:p w14:paraId="79850E46" w14:textId="77777777" w:rsidR="00750B60" w:rsidRPr="005B085E" w:rsidRDefault="00750B60" w:rsidP="00F82067">
      <w:pPr>
        <w:spacing w:after="0" w:line="276" w:lineRule="auto"/>
        <w:rPr>
          <w:lang w:val="en-GB"/>
        </w:rPr>
      </w:pPr>
      <w:r w:rsidRPr="005B085E">
        <w:rPr>
          <w:lang w:val="en-GB"/>
        </w:rPr>
        <w:t>In the transport of goods to and between WFMs, women’s role is comparatively low, as both physical demands and financial constraints limit their direct involvement. The handling of heavy loads and transfer of goods from one market to another is a male-dominated activity, reflecting wider gender norms. Literature documents that women's mobility is limited by domestic responsibilities (Me-</w:t>
      </w:r>
      <w:proofErr w:type="spellStart"/>
      <w:r w:rsidRPr="005B085E">
        <w:rPr>
          <w:lang w:val="en-GB"/>
        </w:rPr>
        <w:t>Nsope</w:t>
      </w:r>
      <w:proofErr w:type="spellEnd"/>
      <w:r w:rsidRPr="005B085E">
        <w:rPr>
          <w:lang w:val="en-GB"/>
        </w:rPr>
        <w:t xml:space="preserve"> &amp; Larkins, 2016), unequal access to transport resources (</w:t>
      </w:r>
      <w:proofErr w:type="spellStart"/>
      <w:r w:rsidRPr="005B085E">
        <w:rPr>
          <w:lang w:val="en-GB"/>
        </w:rPr>
        <w:t>Masamha</w:t>
      </w:r>
      <w:proofErr w:type="spellEnd"/>
      <w:r w:rsidRPr="005B085E">
        <w:rPr>
          <w:lang w:val="en-GB"/>
        </w:rPr>
        <w:t xml:space="preserve"> et al., 2018), and </w:t>
      </w:r>
      <w:proofErr w:type="spellStart"/>
      <w:r w:rsidRPr="005B085E">
        <w:rPr>
          <w:lang w:val="en-GB"/>
        </w:rPr>
        <w:t>and</w:t>
      </w:r>
      <w:proofErr w:type="spellEnd"/>
      <w:r w:rsidRPr="005B085E">
        <w:rPr>
          <w:lang w:val="en-GB"/>
        </w:rPr>
        <w:t xml:space="preserve"> institutional structures that put men at an advantage (Pyburn et al., 2023). These </w:t>
      </w:r>
      <w:proofErr w:type="spellStart"/>
      <w:r w:rsidRPr="005B085E">
        <w:rPr>
          <w:lang w:val="en-GB"/>
        </w:rPr>
        <w:t>labor</w:t>
      </w:r>
      <w:proofErr w:type="spellEnd"/>
      <w:r w:rsidRPr="005B085E">
        <w:rPr>
          <w:lang w:val="en-GB"/>
        </w:rPr>
        <w:t xml:space="preserve"> divisions go beyond physical strength and reinforce cultural expectations about women’s domestic roles. Participation is reshaped into less visible but crucial organizational tasks that support trade without challenging existing norms. Addressing these inequalities requires interventions that extend beyond technical training and confront the cultural barriers limiting women’s roles in market logistics.</w:t>
      </w:r>
    </w:p>
    <w:p w14:paraId="00817FA1" w14:textId="77777777" w:rsidR="00750B60" w:rsidRPr="005B085E" w:rsidRDefault="00750B60" w:rsidP="00F82067">
      <w:pPr>
        <w:rPr>
          <w:lang w:val="en-GB"/>
        </w:rPr>
      </w:pPr>
      <w:r w:rsidRPr="005B085E">
        <w:rPr>
          <w:lang w:val="en-GB"/>
        </w:rPr>
        <w:t>Our findings show that selling in WFMs is largely gender-neutral. Individual capital and product choice matter more than gender. Historically, food vending has been linked to women (Levin et al., 1999), and they remain prominent in vegetables, fruits, beans, and fish (Davies et al., 2022), though men also play an active role. Women’s participation is still limited by domestic duties (de Kanter et al., 2024), yet they continue to dominate traditional markets (Cook et al., 2024). These findings suggest that even though vending has been culturally seen as women’s work, actual participation is more complex, with both men and women involved in various product lines. Women’s participation in selling is driven more by capacity, capital, and business interests, though social and cultural expectations still affect their engagement. For example, women might avoid physically demanding jobs like evening loading or focus on goods tied to “kitchen work,” while men often take on high-risk or physically intense tasks. These patterns show that while WFMs offer opportunities for economic independence, structural and cultural norms still influence participation. This highlights the need for policies and actions that acknowledge women’s independence, lower barriers to fair access to high-revenue or high-risk product areas, and challenge ongoing stereotypes about “men’s work” versus “women’s work” in market economies.</w:t>
      </w:r>
    </w:p>
    <w:p w14:paraId="4BC50994" w14:textId="77777777" w:rsidR="00750B60" w:rsidRDefault="00750B60" w:rsidP="00F82067">
      <w:pPr>
        <w:rPr>
          <w:lang w:val="en-GB"/>
        </w:rPr>
      </w:pPr>
      <w:r w:rsidRPr="00750B60">
        <w:rPr>
          <w:lang w:val="en-GB"/>
        </w:rPr>
        <w:t xml:space="preserve">Results have shown that despite the large number of women traders, leadership positions are still mostly held by men. Structural barriers, limited time, and self-image limit women’s participation in decision-making roles. Davies et al., 2022, for example, in a study using the </w:t>
      </w:r>
      <w:r w:rsidRPr="00750B60">
        <w:rPr>
          <w:lang w:val="en-GB"/>
        </w:rPr>
        <w:lastRenderedPageBreak/>
        <w:t>Zambian context, shows that women seldom hold executive positions, even though they make up the majority of sellers. Similar patterns appear in cooperatives in low- and middle-income countries, where traditional gender roles and lower education levels restrict leadership chances (Pyburn et al., 2023). These findings show that women's limited involvement in WFM leadership results from overlapping structural, procedural, and social barriers. Leadership remains male-dominated, shaped by norms that see authority and decision-making as male tasks, further reinforced by expectations related to women’s domestic responsibilities. Procedural issues, like membership rules and minimum required experience, also limit women’s access. Additionally, views on readiness and the focus on trading and household tasks over leadership roles add to these challenges. These factors underline the importance of tackling both social norms and structural barriers, highlighting the need for mentorship, skill-building, and procedural changes to create gender-inclusive leadership.</w:t>
      </w:r>
    </w:p>
    <w:p w14:paraId="545DBDB5" w14:textId="77777777" w:rsidR="00750B60" w:rsidRDefault="00750B60" w:rsidP="00750B60">
      <w:pPr>
        <w:pStyle w:val="ListParagraph"/>
        <w:spacing w:after="0" w:line="276" w:lineRule="auto"/>
        <w:ind w:left="0"/>
        <w:rPr>
          <w:lang w:val="en-GB"/>
        </w:rPr>
      </w:pPr>
    </w:p>
    <w:p w14:paraId="1B202456" w14:textId="06B29CEB" w:rsidR="00EE5CCD" w:rsidRDefault="00000000" w:rsidP="00750B60">
      <w:pPr>
        <w:pStyle w:val="ListParagraph"/>
        <w:spacing w:after="0" w:line="276" w:lineRule="auto"/>
        <w:ind w:left="0"/>
        <w:rPr>
          <w:rFonts w:eastAsia="Times New Roman" w:cs="Times New Roman"/>
          <w:b/>
          <w:i/>
          <w:kern w:val="0"/>
          <w14:ligatures w14:val="none"/>
        </w:rPr>
      </w:pPr>
      <w:r w:rsidRPr="00E673FE">
        <w:rPr>
          <w:rFonts w:eastAsia="Times New Roman" w:cs="Times New Roman"/>
          <w:b/>
          <w:i/>
          <w:kern w:val="0"/>
          <w14:ligatures w14:val="none"/>
        </w:rPr>
        <w:t xml:space="preserve">4.3 </w:t>
      </w:r>
      <w:r w:rsidR="00EE5CCD">
        <w:rPr>
          <w:rFonts w:eastAsia="Times New Roman" w:cs="Times New Roman"/>
          <w:b/>
          <w:i/>
          <w:kern w:val="0"/>
          <w14:ligatures w14:val="none"/>
        </w:rPr>
        <w:t>Social-cultural Contexts and Women’ Engagement in WFMs</w:t>
      </w:r>
    </w:p>
    <w:p w14:paraId="257BF6A3" w14:textId="77777777" w:rsidR="00EE5CCD" w:rsidRPr="007A6F69" w:rsidRDefault="00EE5CCD" w:rsidP="00F82067">
      <w:pPr>
        <w:rPr>
          <w:lang w:val="de-DE"/>
        </w:rPr>
      </w:pPr>
      <w:r>
        <w:rPr>
          <w:lang w:val="de-DE"/>
        </w:rPr>
        <w:t>Overall, results show that w</w:t>
      </w:r>
      <w:r w:rsidRPr="007A6F69">
        <w:rPr>
          <w:lang w:val="de-DE"/>
        </w:rPr>
        <w:t xml:space="preserve">omen’s participation in </w:t>
      </w:r>
      <w:r>
        <w:rPr>
          <w:lang w:val="de-DE"/>
        </w:rPr>
        <w:t>WFM</w:t>
      </w:r>
      <w:r w:rsidRPr="007A6F69">
        <w:rPr>
          <w:lang w:val="de-DE"/>
        </w:rPr>
        <w:t xml:space="preserve"> activities is strongly influenced by their marital status and caregiving responsibilities. Unmarried women report greater flexibility. In contrast, married women must negotiate household support and trust with their spouses to maintain their engagement. However, joint decision-making </w:t>
      </w:r>
      <w:r>
        <w:rPr>
          <w:lang w:val="de-DE"/>
        </w:rPr>
        <w:t xml:space="preserve">is seen to help </w:t>
      </w:r>
      <w:r w:rsidRPr="007A6F69">
        <w:rPr>
          <w:lang w:val="de-DE"/>
        </w:rPr>
        <w:t>ensure continued participation. This is consistent with Azcona et al. (2019), who show that unmarried women have higher labor force participation</w:t>
      </w:r>
      <w:r>
        <w:rPr>
          <w:lang w:val="de-DE"/>
        </w:rPr>
        <w:t xml:space="preserve">, and </w:t>
      </w:r>
      <w:r w:rsidRPr="007A6F69">
        <w:rPr>
          <w:lang w:val="de-DE"/>
        </w:rPr>
        <w:t xml:space="preserve">Quisumbing et al. (2023), who emphasize the trade-offs between market work and caregiving. Childbearing and childcare, especially for young children, significantly limit women’s market activity (FAO, 2023). Some women take their children to markets to balance these demands, while others depend on household helpers. </w:t>
      </w:r>
      <w:r>
        <w:rPr>
          <w:lang w:val="de-DE"/>
        </w:rPr>
        <w:t xml:space="preserve">As such, most women within the food retail space are compelled to </w:t>
      </w:r>
      <w:r w:rsidRPr="007A6F69">
        <w:rPr>
          <w:lang w:val="de-DE"/>
        </w:rPr>
        <w:t>juggle the needs for income generation and caregiving (AGRA, 2020). These findings confirm that unpaid care work reduces the intensity and consistency of women’s market participation</w:t>
      </w:r>
      <w:r>
        <w:rPr>
          <w:lang w:val="de-DE"/>
        </w:rPr>
        <w:t xml:space="preserve">, and </w:t>
      </w:r>
      <w:r w:rsidRPr="007A6F69">
        <w:rPr>
          <w:lang w:val="de-DE"/>
        </w:rPr>
        <w:t>highlight the need for policies that transform gender roles by easing care burdens through childcare options, training, and awareness initiatives.</w:t>
      </w:r>
    </w:p>
    <w:p w14:paraId="1FB19EE9" w14:textId="77777777" w:rsidR="00EE5CCD" w:rsidRDefault="00EE5CCD" w:rsidP="00F82067">
      <w:pPr>
        <w:rPr>
          <w:lang w:val="de-DE"/>
        </w:rPr>
      </w:pPr>
      <w:r w:rsidRPr="007A6F69">
        <w:rPr>
          <w:lang w:val="de-DE"/>
        </w:rPr>
        <w:t>Changing gender norms are also affecting participation patterns. Focus group discussions reveal a gradual shift in traditional roles</w:t>
      </w:r>
      <w:r>
        <w:rPr>
          <w:lang w:val="de-DE"/>
        </w:rPr>
        <w:t xml:space="preserve">, with men </w:t>
      </w:r>
      <w:r w:rsidRPr="007A6F69">
        <w:rPr>
          <w:lang w:val="de-DE"/>
        </w:rPr>
        <w:t>increasingly taking on tasks once reserved for women, and vice versa, though tensions still exist. Aberman et al. (2022) note that women’s preference for informal food-based work reflects lasting gender norms. However, rapid urbanization has increased women’s involvement in informal food markets (AGRA, 2020; Levin et al., 1999).</w:t>
      </w:r>
      <w:r>
        <w:rPr>
          <w:lang w:val="de-DE"/>
        </w:rPr>
        <w:t xml:space="preserve"> </w:t>
      </w:r>
      <w:r w:rsidRPr="007A6F69">
        <w:rPr>
          <w:lang w:val="de-DE"/>
        </w:rPr>
        <w:t>These dynamics emphasize the need for policies that break down structural barriers</w:t>
      </w:r>
      <w:r>
        <w:rPr>
          <w:lang w:val="de-DE"/>
        </w:rPr>
        <w:t xml:space="preserve"> </w:t>
      </w:r>
      <w:r w:rsidRPr="007A6F69">
        <w:rPr>
          <w:lang w:val="de-DE"/>
        </w:rPr>
        <w:t>and expand training to support women’s ongoing participation in urban food markets.</w:t>
      </w:r>
    </w:p>
    <w:p w14:paraId="225FE854" w14:textId="77777777" w:rsidR="00EE5CCD" w:rsidRPr="00EE5CCD" w:rsidRDefault="00EE5CCD" w:rsidP="00750B60">
      <w:pPr>
        <w:pStyle w:val="ListParagraph"/>
        <w:spacing w:after="0" w:line="276" w:lineRule="auto"/>
        <w:ind w:left="0"/>
        <w:rPr>
          <w:rFonts w:eastAsia="Times New Roman" w:cs="Times New Roman"/>
          <w:bCs/>
          <w:iCs/>
          <w:kern w:val="0"/>
          <w14:ligatures w14:val="none"/>
        </w:rPr>
      </w:pPr>
    </w:p>
    <w:p w14:paraId="6EDC7140" w14:textId="706C01E4" w:rsidR="00364EA2" w:rsidRPr="00E673FE" w:rsidRDefault="00EE5CCD" w:rsidP="00750B60">
      <w:pPr>
        <w:pStyle w:val="ListParagraph"/>
        <w:spacing w:after="0" w:line="276" w:lineRule="auto"/>
        <w:ind w:left="0"/>
        <w:rPr>
          <w:rFonts w:eastAsia="Times New Roman" w:cs="Times New Roman"/>
          <w:b/>
          <w:i/>
          <w:kern w:val="0"/>
          <w14:ligatures w14:val="none"/>
        </w:rPr>
      </w:pPr>
      <w:r>
        <w:rPr>
          <w:rFonts w:eastAsia="Times New Roman" w:cs="Times New Roman"/>
          <w:b/>
          <w:i/>
          <w:kern w:val="0"/>
          <w14:ligatures w14:val="none"/>
        </w:rPr>
        <w:t xml:space="preserve">4.4 </w:t>
      </w:r>
      <w:r w:rsidR="00347A2C">
        <w:rPr>
          <w:rFonts w:eastAsia="Times New Roman" w:cs="Times New Roman"/>
          <w:b/>
          <w:i/>
          <w:kern w:val="0"/>
          <w14:ligatures w14:val="none"/>
        </w:rPr>
        <w:t xml:space="preserve">The </w:t>
      </w:r>
      <w:r w:rsidRPr="00E673FE">
        <w:rPr>
          <w:rFonts w:eastAsia="Times New Roman" w:cs="Times New Roman"/>
          <w:b/>
          <w:i/>
          <w:kern w:val="0"/>
          <w14:ligatures w14:val="none"/>
        </w:rPr>
        <w:t xml:space="preserve">Structural and </w:t>
      </w:r>
      <w:r>
        <w:rPr>
          <w:rFonts w:eastAsia="Times New Roman" w:cs="Times New Roman"/>
          <w:b/>
          <w:i/>
          <w:kern w:val="0"/>
          <w14:ligatures w14:val="none"/>
        </w:rPr>
        <w:t>Institutional</w:t>
      </w:r>
      <w:r w:rsidR="00347A2C">
        <w:rPr>
          <w:rFonts w:eastAsia="Times New Roman" w:cs="Times New Roman"/>
          <w:b/>
          <w:i/>
          <w:kern w:val="0"/>
          <w14:ligatures w14:val="none"/>
        </w:rPr>
        <w:t xml:space="preserve"> Landscape of</w:t>
      </w:r>
      <w:r w:rsidRPr="00E673FE">
        <w:rPr>
          <w:rFonts w:eastAsia="Times New Roman" w:cs="Times New Roman"/>
          <w:b/>
          <w:i/>
          <w:kern w:val="0"/>
          <w14:ligatures w14:val="none"/>
        </w:rPr>
        <w:t xml:space="preserve"> Women’s engagement in WFMs</w:t>
      </w:r>
    </w:p>
    <w:p w14:paraId="19F1A8BA" w14:textId="77777777" w:rsidR="00364EA2" w:rsidRPr="00E673FE" w:rsidRDefault="00000000" w:rsidP="00F82067">
      <w:r w:rsidRPr="00E673FE">
        <w:t xml:space="preserve">Insights from our findings show that women’s participation in WFMs is constrained by a range of structural and social barriers that affect both economic gains and reinforce gender </w:t>
      </w:r>
      <w:r w:rsidRPr="00E673FE">
        <w:lastRenderedPageBreak/>
        <w:t>inequalities. These include environmental conditions, infrastructure, social protection issues, and household dynamics.</w:t>
      </w:r>
    </w:p>
    <w:p w14:paraId="66E2A070" w14:textId="77777777" w:rsidR="00364EA2" w:rsidRPr="00E673FE" w:rsidRDefault="00000000" w:rsidP="00F82067">
      <w:r w:rsidRPr="00E673FE">
        <w:t>Environmental and sanitation conditions are ongoing challenges. In all studied markets, vendors voiced their frustration with poor cleanliness and inadequate municipal services, impacting both health and business operations. Similar conditions exist throughout SSA, where markets frequently lack clean water, sanitary facilities, and waste management, putting traders at risk of health issues (Cook et al., 2024; Davies et al., 2022; Chilanga &amp; Riley, 2022). These environmental problems often overlap with the insecurity of trading spaces. Roadside locations not only put vendors at risk but also limit their chances for stable businesses and long-term planning. This underscores the need for municipalities to include WFMs in urban planning and provide safe, accessible, and well-equipped spaces.</w:t>
      </w:r>
    </w:p>
    <w:p w14:paraId="1F31E3B9" w14:textId="77777777" w:rsidR="00364EA2" w:rsidRDefault="00000000" w:rsidP="00F82067">
      <w:r w:rsidRPr="00E673FE">
        <w:t>In addition to infrastructure, the lack of social protection and financial access further weakens women’s resilience. Without formal recognition, traders cannot receive basic protections and are vulnerable to shocks. Challenges in accessing credit add to these vulnerabilities (Addo et al., 2024; Peprah et al., 2019). Inclusive protection schemes, simpler administrative processes, and accessible financial services are therefore essential for women's ongoing participation. Further, market engagement is influenced by household dynamics. Domestic responsibilities and expectations for women to be primary caregivers limit their flexibility and time for trading, especially regarding childcare. As Quisumbing et al. (2023) point out, women frequently face trade-offs between household responsibilities and market activities. These underscores the need for measures that transform gender roles by redistributing care work and challenging restrictive social norms.</w:t>
      </w:r>
    </w:p>
    <w:p w14:paraId="238697A7" w14:textId="77777777" w:rsidR="00EE5CCD" w:rsidRPr="00E673FE" w:rsidRDefault="00EE5CCD" w:rsidP="00F82067">
      <w:r w:rsidRPr="00E673FE">
        <w:t>Finally, municipal market by-laws are largely gender-blind, as revealed through FGDs and document reviews (</w:t>
      </w:r>
      <w:proofErr w:type="spellStart"/>
      <w:r w:rsidRPr="00E673FE">
        <w:t>GoT</w:t>
      </w:r>
      <w:proofErr w:type="spellEnd"/>
      <w:r w:rsidRPr="00E673FE">
        <w:t xml:space="preserve">, 2018; </w:t>
      </w:r>
      <w:proofErr w:type="spellStart"/>
      <w:r w:rsidRPr="00E673FE">
        <w:t>GoT</w:t>
      </w:r>
      <w:proofErr w:type="spellEnd"/>
      <w:r w:rsidRPr="00E673FE">
        <w:t xml:space="preserve">, 2019; </w:t>
      </w:r>
      <w:proofErr w:type="spellStart"/>
      <w:r w:rsidRPr="00E673FE">
        <w:t>GoT</w:t>
      </w:r>
      <w:proofErr w:type="spellEnd"/>
      <w:r w:rsidRPr="00E673FE">
        <w:t>, 2022). While regulations nominally treat all traders equally, women experience practical barriers linked to unpaid care work, mobility limitations, and restricted access to capital or time. This reinforces prior evidence that gender-neutral policies may inadvertently perpetuate inequalities (Agarwal, 2010; Cornwall et al., 2007; Kabeer, 1999). Formal inclusion in governance structures does not guarantee meaningful participation, highlighting the need for gender-aware or gender-transformative measures such as reserved leadership seats, women-friendly infrastructure, flexible market arrangements, and targeted capacity-building interventions.</w:t>
      </w:r>
    </w:p>
    <w:p w14:paraId="685F1A73" w14:textId="77777777" w:rsidR="00EE5CCD" w:rsidRPr="00E673FE" w:rsidRDefault="00EE5CCD">
      <w:pPr>
        <w:ind w:firstLine="567"/>
        <w:rPr>
          <w:rFonts w:cs="Times New Roman"/>
          <w:b/>
          <w:bCs/>
          <w:iCs/>
        </w:rPr>
      </w:pPr>
    </w:p>
    <w:p w14:paraId="57F9ED6C" w14:textId="3808C727" w:rsidR="00364EA2" w:rsidRPr="00E673FE" w:rsidRDefault="00000000">
      <w:pPr>
        <w:pStyle w:val="Heading2"/>
        <w:rPr>
          <w:i/>
          <w:iCs/>
        </w:rPr>
      </w:pPr>
      <w:r w:rsidRPr="00E673FE">
        <w:rPr>
          <w:i/>
          <w:iCs/>
        </w:rPr>
        <w:t>4.</w:t>
      </w:r>
      <w:r w:rsidR="00EE5CCD">
        <w:rPr>
          <w:i/>
          <w:iCs/>
        </w:rPr>
        <w:t>5</w:t>
      </w:r>
      <w:r w:rsidRPr="00E673FE">
        <w:rPr>
          <w:i/>
          <w:iCs/>
        </w:rPr>
        <w:t xml:space="preserve"> Economic and Overall Wellbeing Outcomes of Women’s Participation</w:t>
      </w:r>
    </w:p>
    <w:p w14:paraId="2A16316F" w14:textId="234C41BE" w:rsidR="00364EA2" w:rsidRPr="00E673FE" w:rsidRDefault="00000000" w:rsidP="00F82067">
      <w:pPr>
        <w:rPr>
          <w:shd w:val="clear" w:color="auto" w:fill="FFFFFF"/>
        </w:rPr>
      </w:pPr>
      <w:r w:rsidRPr="00E673FE">
        <w:rPr>
          <w:shd w:val="clear" w:color="auto" w:fill="FFFFFF"/>
        </w:rPr>
        <w:t>The findings show that WFMs give women a steady income and chances to build capital, in turn, strengthening household food security, education, and healthcare. These results support earlier studies that traditional markets make significant economic and social contributions (Cook et al., 2024) and that street food vending serves as a critical income source for poor urban women (</w:t>
      </w:r>
      <w:proofErr w:type="spellStart"/>
      <w:r w:rsidRPr="00E673FE">
        <w:rPr>
          <w:shd w:val="clear" w:color="auto" w:fill="FFFFFF"/>
        </w:rPr>
        <w:t>Mahopo</w:t>
      </w:r>
      <w:proofErr w:type="spellEnd"/>
      <w:r w:rsidRPr="00E673FE">
        <w:rPr>
          <w:shd w:val="clear" w:color="auto" w:fill="FFFFFF"/>
        </w:rPr>
        <w:t xml:space="preserve"> et al., 2022). Our study, aligning with </w:t>
      </w:r>
      <w:proofErr w:type="spellStart"/>
      <w:r w:rsidR="00307A08">
        <w:rPr>
          <w:shd w:val="clear" w:color="auto" w:fill="FFFFFF"/>
        </w:rPr>
        <w:t>O</w:t>
      </w:r>
      <w:r w:rsidRPr="00E673FE">
        <w:rPr>
          <w:shd w:val="clear" w:color="auto" w:fill="FFFFFF"/>
        </w:rPr>
        <w:t>too</w:t>
      </w:r>
      <w:proofErr w:type="spellEnd"/>
      <w:r w:rsidRPr="00E673FE">
        <w:rPr>
          <w:shd w:val="clear" w:color="auto" w:fill="FFFFFF"/>
        </w:rPr>
        <w:t xml:space="preserve"> et al. (2011), reveals that earnings from these markets can sometimes significantly surpass minimum wages. This primarily benefits single mothers and widows who invest their earnings in long-term household needs. While these results confirm that WFMs are essential for inclusive growth, </w:t>
      </w:r>
      <w:r w:rsidRPr="00E673FE">
        <w:rPr>
          <w:shd w:val="clear" w:color="auto" w:fill="FFFFFF"/>
        </w:rPr>
        <w:lastRenderedPageBreak/>
        <w:t xml:space="preserve">they also highlight ongoing challenges such as limited access to credit, insecure trading spaces, and insufficient financial training. Improving infrastructure and targeted support could reduce transaction costs and boost profitability. </w:t>
      </w:r>
    </w:p>
    <w:p w14:paraId="30734A10" w14:textId="6A91412B" w:rsidR="00364EA2" w:rsidRPr="00E673FE" w:rsidRDefault="005D006F" w:rsidP="00F82067">
      <w:pPr>
        <w:rPr>
          <w:shd w:val="clear" w:color="auto" w:fill="FFFFFF"/>
        </w:rPr>
      </w:pPr>
      <w:r>
        <w:rPr>
          <w:shd w:val="clear" w:color="auto" w:fill="FFFFFF"/>
        </w:rPr>
        <w:t xml:space="preserve">Beyond </w:t>
      </w:r>
      <w:r w:rsidRPr="00E673FE">
        <w:rPr>
          <w:shd w:val="clear" w:color="auto" w:fill="FFFFFF"/>
        </w:rPr>
        <w:t xml:space="preserve">from economic security, WFMs help women gain independence and improve their well-being. The income provides greater bargaining power, fosters joint decision-making, and supports independence for single women and widows. While Cook et al. (2024) view markets as places for upward mobility for the urban poor, our findings reveal overlooked autonomy outcomes for single women, indicating a need for further research. Participation in WFMs also helps in accumulating assets, improving housing, and building social connections. This is in line with Addo et al. (2024), who documented the social, economic, and nutritional benefits of women's roles in food systems. However, strong socio-cultural norms and limited resource access still hinder women's full participation, as noted by </w:t>
      </w:r>
      <w:proofErr w:type="spellStart"/>
      <w:r w:rsidRPr="00E673FE">
        <w:rPr>
          <w:shd w:val="clear" w:color="auto" w:fill="FFFFFF"/>
        </w:rPr>
        <w:t>Xheneti</w:t>
      </w:r>
      <w:proofErr w:type="spellEnd"/>
      <w:r w:rsidRPr="00E673FE">
        <w:rPr>
          <w:shd w:val="clear" w:color="auto" w:fill="FFFFFF"/>
        </w:rPr>
        <w:t xml:space="preserve"> (2019) and </w:t>
      </w:r>
      <w:proofErr w:type="spellStart"/>
      <w:r w:rsidRPr="00E673FE">
        <w:rPr>
          <w:shd w:val="clear" w:color="auto" w:fill="FFFFFF"/>
        </w:rPr>
        <w:t>Magesa</w:t>
      </w:r>
      <w:proofErr w:type="spellEnd"/>
      <w:r w:rsidRPr="00E673FE">
        <w:rPr>
          <w:shd w:val="clear" w:color="auto" w:fill="FFFFFF"/>
        </w:rPr>
        <w:t xml:space="preserve"> et al. (201</w:t>
      </w:r>
      <w:r w:rsidR="009962FC">
        <w:rPr>
          <w:shd w:val="clear" w:color="auto" w:fill="FFFFFF"/>
        </w:rPr>
        <w:t>3</w:t>
      </w:r>
      <w:r w:rsidRPr="00E673FE">
        <w:rPr>
          <w:shd w:val="clear" w:color="auto" w:fill="FFFFFF"/>
        </w:rPr>
        <w:t xml:space="preserve">). Overall, these dynamics show that WFMs serve as both income sources and empowerment platforms. Their rotational and trust-based structure fosters stable customer relationships, gradual growth, and collective resilience. </w:t>
      </w:r>
    </w:p>
    <w:p w14:paraId="5B1A57C1" w14:textId="77777777" w:rsidR="00FC3F4A" w:rsidRPr="00E673FE" w:rsidRDefault="00FC3F4A"/>
    <w:p w14:paraId="46C83BDB" w14:textId="77777777" w:rsidR="00364EA2" w:rsidRPr="00E673FE" w:rsidRDefault="00000000">
      <w:pPr>
        <w:pStyle w:val="ListParagraph"/>
        <w:numPr>
          <w:ilvl w:val="0"/>
          <w:numId w:val="1"/>
        </w:numPr>
        <w:spacing w:line="276" w:lineRule="auto"/>
        <w:rPr>
          <w:rFonts w:cs="Times New Roman"/>
          <w:b/>
          <w:bCs/>
          <w:iCs/>
        </w:rPr>
      </w:pPr>
      <w:r w:rsidRPr="00E673FE">
        <w:rPr>
          <w:rFonts w:cs="Times New Roman"/>
          <w:b/>
          <w:bCs/>
          <w:iCs/>
        </w:rPr>
        <w:t xml:space="preserve">Conclusions </w:t>
      </w:r>
    </w:p>
    <w:p w14:paraId="1BFED373" w14:textId="1BC386DB" w:rsidR="00A024FB" w:rsidRPr="00A024FB" w:rsidRDefault="00A024FB" w:rsidP="00F82067">
      <w:pPr>
        <w:rPr>
          <w:lang w:val="en-TZ"/>
        </w:rPr>
      </w:pPr>
      <w:r w:rsidRPr="00A024FB">
        <w:rPr>
          <w:lang w:val="en-TZ"/>
        </w:rPr>
        <w:t xml:space="preserve">This paper examined women’s participation in WFMs in Dar es Salaam, </w:t>
      </w:r>
      <w:r>
        <w:rPr>
          <w:lang w:val="en-TZ"/>
        </w:rPr>
        <w:t>examining</w:t>
      </w:r>
      <w:r w:rsidRPr="00A024FB">
        <w:rPr>
          <w:lang w:val="en-TZ"/>
        </w:rPr>
        <w:t xml:space="preserve"> how socio-cultural norms, institutional arrangements, and structural conditions </w:t>
      </w:r>
      <w:r>
        <w:rPr>
          <w:lang w:val="en-TZ"/>
        </w:rPr>
        <w:t>shape</w:t>
      </w:r>
      <w:r w:rsidRPr="00A024FB">
        <w:rPr>
          <w:lang w:val="en-TZ"/>
        </w:rPr>
        <w:t xml:space="preserve"> their engagement</w:t>
      </w:r>
      <w:r>
        <w:rPr>
          <w:lang w:val="en-TZ"/>
        </w:rPr>
        <w:t xml:space="preserve"> and outcomes (</w:t>
      </w:r>
      <w:r w:rsidRPr="00A024FB">
        <w:rPr>
          <w:lang w:val="en-TZ"/>
        </w:rPr>
        <w:t>income,</w:t>
      </w:r>
      <w:r>
        <w:rPr>
          <w:lang w:val="en-TZ"/>
        </w:rPr>
        <w:t xml:space="preserve"> economic security, personal autonomy</w:t>
      </w:r>
      <w:r w:rsidRPr="00A024FB">
        <w:rPr>
          <w:lang w:val="en-TZ"/>
        </w:rPr>
        <w:t xml:space="preserve"> and overall wellbeing</w:t>
      </w:r>
      <w:r>
        <w:rPr>
          <w:lang w:val="en-TZ"/>
        </w:rPr>
        <w:t>)</w:t>
      </w:r>
      <w:r w:rsidRPr="00A024FB">
        <w:rPr>
          <w:lang w:val="en-TZ"/>
        </w:rPr>
        <w:t>. Drawing on the SRA</w:t>
      </w:r>
      <w:r>
        <w:rPr>
          <w:lang w:val="en-TZ"/>
        </w:rPr>
        <w:t xml:space="preserve"> framework</w:t>
      </w:r>
      <w:r w:rsidRPr="00A024FB">
        <w:rPr>
          <w:lang w:val="en-TZ"/>
        </w:rPr>
        <w:t xml:space="preserve">, the study revealed that women’s participation is shaped by both livelihood necessity and opportunity-seeking motives, reflecting their </w:t>
      </w:r>
      <w:r w:rsidR="00730B45">
        <w:rPr>
          <w:lang w:val="en-TZ"/>
        </w:rPr>
        <w:t>important</w:t>
      </w:r>
      <w:r w:rsidRPr="00A024FB">
        <w:rPr>
          <w:lang w:val="en-TZ"/>
        </w:rPr>
        <w:t xml:space="preserve"> but constrained roles in urban food systems.</w:t>
      </w:r>
      <w:r w:rsidR="00730B45">
        <w:rPr>
          <w:lang w:val="en-TZ"/>
        </w:rPr>
        <w:t xml:space="preserve"> The findings further </w:t>
      </w:r>
      <w:r w:rsidRPr="00A024FB">
        <w:rPr>
          <w:lang w:val="en-TZ"/>
        </w:rPr>
        <w:t>indicate that women are active across multiple functions of WFMs, particularly in sourcing and selling, where gender differences are less pronounced and participation is largely determined by access to capital, product type, and business capacity. However, women’s engagement remains limited in areas such as transport logistics and market leadership, where gender norms, procedural barriers, and the physical and time demands of unpaid care work continue to disadvantage them. While participation in WFMs contributes to improved income, economic security, decision-making power, and self-reported wellbeing, these gains are often undermined by gender-blind market regulations, poor environmental and infrastructural conditions, and weak municipal support systems.</w:t>
      </w:r>
    </w:p>
    <w:p w14:paraId="227E8C2F" w14:textId="77777777" w:rsidR="005E264C" w:rsidRDefault="005E264C" w:rsidP="00F82067">
      <w:r w:rsidRPr="005E264C">
        <w:t xml:space="preserve">Several policy implications emerge from this paper. First, addressing the burden of unpaid care work through community-wide gender awareness and sensitization programs is critical to provide women with greater flexibility to engage fully and benefit from market activities. Second, enhancing gender-inclusive infrastructure and municipal services is essential, as improvements in sanitation, water access, waste management, and trading site safety can increase productivity, reduce vulnerability, and support the sustainable operation of WFMs. Third, fostering inclusive leadership and governance within WFMs can further amplify women’s voices in market management and decision-making, ensuring their perspectives shape market operations. Lastly, gender-transformative interventions are necessary to address </w:t>
      </w:r>
      <w:r w:rsidRPr="005E264C">
        <w:lastRenderedPageBreak/>
        <w:t>structural and cultural barriers that limit women’s participation in higher-value and physically demanding market segments.</w:t>
      </w:r>
    </w:p>
    <w:p w14:paraId="1302B952" w14:textId="7EEE995D" w:rsidR="00A024FB" w:rsidRPr="00A024FB" w:rsidRDefault="00A024FB" w:rsidP="00F82067">
      <w:pPr>
        <w:rPr>
          <w:lang w:val="en-TZ"/>
        </w:rPr>
      </w:pPr>
      <w:r w:rsidRPr="00A024FB">
        <w:rPr>
          <w:lang w:val="en-TZ"/>
        </w:rPr>
        <w:t>Overall, the study highlights that while WFMs offer accessible entry points for women’s economic engagement, they remain embedded within unequal social relations that limit their transformative potential. Strengthening gender-aware and gender-transformative policies will be crucial to ensuring that WFMs evolve into more equitable and empowering spaces—advancing both women’s economic autonomy and the resilience of urban food systems.</w:t>
      </w:r>
    </w:p>
    <w:p w14:paraId="672263ED" w14:textId="77777777" w:rsidR="00A024FB" w:rsidRDefault="00A024FB" w:rsidP="00FC3F4A">
      <w:pPr>
        <w:spacing w:before="0" w:after="200"/>
      </w:pPr>
    </w:p>
    <w:p w14:paraId="4F96B43A" w14:textId="77777777" w:rsidR="00364EA2" w:rsidRPr="00E673FE" w:rsidRDefault="00000000">
      <w:pPr>
        <w:numPr>
          <w:ilvl w:val="0"/>
          <w:numId w:val="1"/>
        </w:numPr>
        <w:spacing w:line="360" w:lineRule="auto"/>
        <w:rPr>
          <w:rFonts w:cs="Times New Roman"/>
          <w:b/>
          <w:bCs/>
        </w:rPr>
      </w:pPr>
      <w:r w:rsidRPr="00E673FE">
        <w:rPr>
          <w:rFonts w:cs="Times New Roman"/>
          <w:b/>
          <w:bCs/>
        </w:rPr>
        <w:t>References</w:t>
      </w:r>
    </w:p>
    <w:p w14:paraId="68500F54" w14:textId="77777777" w:rsidR="003B6C66" w:rsidRPr="00933416" w:rsidRDefault="003B6C66" w:rsidP="003B6C66">
      <w:pPr>
        <w:pStyle w:val="ListParagraph"/>
        <w:numPr>
          <w:ilvl w:val="1"/>
          <w:numId w:val="16"/>
        </w:numPr>
        <w:spacing w:line="276" w:lineRule="auto"/>
        <w:ind w:left="426" w:hanging="426"/>
        <w:jc w:val="both"/>
        <w:rPr>
          <w:rFonts w:cs="Times New Roman"/>
        </w:rPr>
      </w:pPr>
      <w:r w:rsidRPr="00933416">
        <w:rPr>
          <w:rFonts w:cs="Times New Roman"/>
        </w:rPr>
        <w:t xml:space="preserve">Aberman, N., Meerman, J., &amp; van de Riet, A. (2022). Integrating gender into the governance of urban food systems for improved nutrition (Working Paper No. 25). </w:t>
      </w:r>
      <w:r w:rsidRPr="00933416">
        <w:rPr>
          <w:rFonts w:cs="Times New Roman"/>
          <w:i/>
          <w:iCs/>
        </w:rPr>
        <w:t>Global Alliance for Improved Nutrition (GAIN)</w:t>
      </w:r>
      <w:r w:rsidRPr="00933416">
        <w:rPr>
          <w:rFonts w:cs="Times New Roman"/>
        </w:rPr>
        <w:t xml:space="preserve">. </w:t>
      </w:r>
      <w:hyperlink r:id="rId12" w:tgtFrame="_blank" w:history="1">
        <w:r w:rsidRPr="00933416">
          <w:rPr>
            <w:rStyle w:val="Hyperlink"/>
            <w:rFonts w:cs="Times New Roman"/>
            <w:color w:val="auto"/>
          </w:rPr>
          <w:t>https://doi.org/10.36072/wp.25</w:t>
        </w:r>
      </w:hyperlink>
    </w:p>
    <w:p w14:paraId="626900E0" w14:textId="77777777" w:rsidR="003B6C66" w:rsidRPr="00933416" w:rsidRDefault="003B6C66" w:rsidP="003B6C66">
      <w:pPr>
        <w:pStyle w:val="ListParagraph"/>
        <w:numPr>
          <w:ilvl w:val="1"/>
          <w:numId w:val="16"/>
        </w:numPr>
        <w:spacing w:line="276" w:lineRule="auto"/>
        <w:ind w:left="426" w:hanging="426"/>
        <w:jc w:val="both"/>
        <w:rPr>
          <w:rFonts w:cs="Times New Roman"/>
        </w:rPr>
      </w:pPr>
      <w:r w:rsidRPr="00933416">
        <w:rPr>
          <w:rFonts w:cs="Times New Roman"/>
        </w:rPr>
        <w:t xml:space="preserve">Addo, P., Djekic-Ivankovic, M., Abdu, A., Boadi, P., Eyo, O., </w:t>
      </w:r>
      <w:proofErr w:type="spellStart"/>
      <w:r w:rsidRPr="00933416">
        <w:rPr>
          <w:rFonts w:cs="Times New Roman"/>
        </w:rPr>
        <w:t>Baguignan</w:t>
      </w:r>
      <w:proofErr w:type="spellEnd"/>
      <w:r w:rsidRPr="00933416">
        <w:rPr>
          <w:rFonts w:cs="Times New Roman"/>
        </w:rPr>
        <w:t xml:space="preserve">, M. Y., </w:t>
      </w:r>
      <w:proofErr w:type="spellStart"/>
      <w:r w:rsidRPr="00933416">
        <w:rPr>
          <w:rFonts w:cs="Times New Roman"/>
        </w:rPr>
        <w:t>Atakoun</w:t>
      </w:r>
      <w:proofErr w:type="spellEnd"/>
      <w:r w:rsidRPr="00933416">
        <w:rPr>
          <w:rFonts w:cs="Times New Roman"/>
        </w:rPr>
        <w:t xml:space="preserve">, A. M., Adamagnon, E., Oso, O., Owusu, J. S., Nwabuko, S., </w:t>
      </w:r>
      <w:proofErr w:type="spellStart"/>
      <w:r w:rsidRPr="00933416">
        <w:rPr>
          <w:rFonts w:cs="Times New Roman"/>
        </w:rPr>
        <w:t>Naïm</w:t>
      </w:r>
      <w:proofErr w:type="spellEnd"/>
      <w:r w:rsidRPr="00933416">
        <w:rPr>
          <w:rFonts w:cs="Times New Roman"/>
        </w:rPr>
        <w:t xml:space="preserve">, S., &amp; Marquis, G. S. (2024). Gender role in food rights and sovereignty in West Africa: A rapid review. </w:t>
      </w:r>
      <w:r w:rsidRPr="00933416">
        <w:rPr>
          <w:rFonts w:cs="Times New Roman"/>
          <w:i/>
          <w:iCs/>
        </w:rPr>
        <w:t>African Journal of Food, Agriculture, Nutrition and Development, 24</w:t>
      </w:r>
      <w:r w:rsidRPr="00933416">
        <w:rPr>
          <w:rFonts w:cs="Times New Roman"/>
        </w:rPr>
        <w:t xml:space="preserve">(10), 24725–24773. </w:t>
      </w:r>
      <w:hyperlink r:id="rId13" w:tgtFrame="_blank" w:history="1">
        <w:r w:rsidRPr="00933416">
          <w:rPr>
            <w:rStyle w:val="Hyperlink"/>
            <w:rFonts w:cs="Times New Roman"/>
            <w:color w:val="auto"/>
          </w:rPr>
          <w:t>https://doi.org/10.18697/ajfand.135.24245</w:t>
        </w:r>
      </w:hyperlink>
    </w:p>
    <w:p w14:paraId="715378C6" w14:textId="77777777" w:rsidR="003B6C66" w:rsidRPr="00933416" w:rsidRDefault="003B6C66" w:rsidP="003B6C66">
      <w:pPr>
        <w:pStyle w:val="ListParagraph"/>
        <w:numPr>
          <w:ilvl w:val="1"/>
          <w:numId w:val="16"/>
        </w:numPr>
        <w:spacing w:line="276" w:lineRule="auto"/>
        <w:ind w:left="426" w:hanging="426"/>
        <w:jc w:val="both"/>
        <w:rPr>
          <w:rFonts w:cs="Times New Roman"/>
        </w:rPr>
      </w:pPr>
      <w:r w:rsidRPr="00933416">
        <w:rPr>
          <w:rFonts w:cs="Times New Roman"/>
        </w:rPr>
        <w:t xml:space="preserve">Agarwal, B. (1997). Bargaining and gender relations: Within and beyond the household. </w:t>
      </w:r>
      <w:r w:rsidRPr="00933416">
        <w:rPr>
          <w:rFonts w:cs="Times New Roman"/>
          <w:i/>
          <w:iCs/>
        </w:rPr>
        <w:t>Feminist Economics, 3</w:t>
      </w:r>
      <w:r w:rsidRPr="00933416">
        <w:rPr>
          <w:rFonts w:cs="Times New Roman"/>
        </w:rPr>
        <w:t>(1), 1–51.</w:t>
      </w:r>
    </w:p>
    <w:p w14:paraId="2A4D373F" w14:textId="77777777" w:rsidR="003B6C66" w:rsidRPr="00933416" w:rsidRDefault="003B6C66" w:rsidP="003B6C66">
      <w:pPr>
        <w:pStyle w:val="ListParagraph"/>
        <w:numPr>
          <w:ilvl w:val="1"/>
          <w:numId w:val="16"/>
        </w:numPr>
        <w:spacing w:line="276" w:lineRule="auto"/>
        <w:ind w:left="426" w:hanging="426"/>
        <w:jc w:val="both"/>
        <w:rPr>
          <w:rFonts w:cs="Times New Roman"/>
        </w:rPr>
      </w:pPr>
      <w:r w:rsidRPr="00933416">
        <w:rPr>
          <w:rFonts w:cs="Times New Roman"/>
        </w:rPr>
        <w:t xml:space="preserve">AGRA. (2020). </w:t>
      </w:r>
      <w:r w:rsidRPr="00933416">
        <w:rPr>
          <w:rFonts w:cs="Times New Roman"/>
          <w:i/>
          <w:iCs/>
        </w:rPr>
        <w:t>Africa Agriculture Status Report. Feeding Africa’s Cities: Opportunities, Challenges, and Policies for Linking African Farmers with Growing Urban Food Markets</w:t>
      </w:r>
      <w:r w:rsidRPr="00933416">
        <w:rPr>
          <w:rFonts w:cs="Times New Roman"/>
        </w:rPr>
        <w:t xml:space="preserve"> (Issue 8). Nairobi, Kenya: Alliance for a Green Revolution in Africa.</w:t>
      </w:r>
    </w:p>
    <w:p w14:paraId="6F4D3457" w14:textId="77777777" w:rsidR="003B6C66" w:rsidRPr="00933416" w:rsidRDefault="003B6C66" w:rsidP="003B6C66">
      <w:pPr>
        <w:pStyle w:val="ListParagraph"/>
        <w:numPr>
          <w:ilvl w:val="1"/>
          <w:numId w:val="16"/>
        </w:numPr>
        <w:spacing w:line="276" w:lineRule="auto"/>
        <w:ind w:left="426" w:hanging="426"/>
        <w:jc w:val="both"/>
        <w:rPr>
          <w:rFonts w:cs="Times New Roman"/>
        </w:rPr>
      </w:pPr>
      <w:r w:rsidRPr="00933416">
        <w:rPr>
          <w:rFonts w:cs="Times New Roman"/>
        </w:rPr>
        <w:t xml:space="preserve">Ambikapathi, R., et al. (2021). Informal food environment is associated with household food security and dietary diversity. </w:t>
      </w:r>
      <w:r w:rsidRPr="00933416">
        <w:rPr>
          <w:rFonts w:cs="Times New Roman"/>
          <w:i/>
          <w:iCs/>
        </w:rPr>
        <w:t>Public Health Nutrition</w:t>
      </w:r>
      <w:r w:rsidRPr="00933416">
        <w:rPr>
          <w:rFonts w:cs="Times New Roman"/>
        </w:rPr>
        <w:t>.</w:t>
      </w:r>
    </w:p>
    <w:p w14:paraId="7FDDE03E" w14:textId="77777777" w:rsidR="003B6C66" w:rsidRPr="00933416" w:rsidRDefault="003B6C66" w:rsidP="003B6C66">
      <w:pPr>
        <w:pStyle w:val="ListParagraph"/>
        <w:numPr>
          <w:ilvl w:val="1"/>
          <w:numId w:val="16"/>
        </w:numPr>
        <w:spacing w:line="276" w:lineRule="auto"/>
        <w:ind w:left="426" w:hanging="426"/>
        <w:jc w:val="both"/>
        <w:rPr>
          <w:rFonts w:cs="Times New Roman"/>
        </w:rPr>
      </w:pPr>
      <w:r w:rsidRPr="00933416">
        <w:rPr>
          <w:rFonts w:cs="Times New Roman"/>
        </w:rPr>
        <w:t xml:space="preserve">Azcona, G., Bhatt, A., Cole, W., </w:t>
      </w:r>
      <w:proofErr w:type="spellStart"/>
      <w:r w:rsidRPr="00933416">
        <w:rPr>
          <w:rFonts w:cs="Times New Roman"/>
        </w:rPr>
        <w:t>Gammarano</w:t>
      </w:r>
      <w:proofErr w:type="spellEnd"/>
      <w:r w:rsidRPr="00933416">
        <w:rPr>
          <w:rFonts w:cs="Times New Roman"/>
        </w:rPr>
        <w:t xml:space="preserve">, R., &amp; Kapsos, S. (2019). The impact of marriage and children on </w:t>
      </w:r>
      <w:proofErr w:type="spellStart"/>
      <w:r w:rsidRPr="00933416">
        <w:rPr>
          <w:rFonts w:cs="Times New Roman"/>
        </w:rPr>
        <w:t>labour</w:t>
      </w:r>
      <w:proofErr w:type="spellEnd"/>
      <w:r w:rsidRPr="00933416">
        <w:rPr>
          <w:rFonts w:cs="Times New Roman"/>
        </w:rPr>
        <w:t xml:space="preserve"> market participation. UN Women &amp; International </w:t>
      </w:r>
      <w:proofErr w:type="spellStart"/>
      <w:r w:rsidRPr="00933416">
        <w:rPr>
          <w:rFonts w:cs="Times New Roman"/>
        </w:rPr>
        <w:t>Labour</w:t>
      </w:r>
      <w:proofErr w:type="spellEnd"/>
      <w:r w:rsidRPr="00933416">
        <w:rPr>
          <w:rFonts w:cs="Times New Roman"/>
        </w:rPr>
        <w:t xml:space="preserve"> Organization. </w:t>
      </w:r>
      <w:hyperlink r:id="rId14" w:tgtFrame="_blank" w:history="1">
        <w:r w:rsidRPr="00933416">
          <w:rPr>
            <w:rStyle w:val="Hyperlink"/>
            <w:rFonts w:cs="Times New Roman"/>
            <w:color w:val="auto"/>
          </w:rPr>
          <w:t>https://sdgs.un.org/sites/default/files/publications/2701theimpactofmarriageandchildrenonlabourmarketparticipationen.pdf</w:t>
        </w:r>
      </w:hyperlink>
    </w:p>
    <w:p w14:paraId="7DF0A76D" w14:textId="77777777" w:rsidR="003B6C66" w:rsidRPr="00933416" w:rsidRDefault="003B6C66" w:rsidP="003B6C66">
      <w:pPr>
        <w:pStyle w:val="ListParagraph"/>
        <w:numPr>
          <w:ilvl w:val="1"/>
          <w:numId w:val="16"/>
        </w:numPr>
        <w:spacing w:line="276" w:lineRule="auto"/>
        <w:ind w:left="426" w:hanging="426"/>
        <w:jc w:val="both"/>
        <w:rPr>
          <w:rFonts w:cs="Times New Roman"/>
        </w:rPr>
      </w:pPr>
      <w:r w:rsidRPr="00933416">
        <w:rPr>
          <w:rFonts w:cs="Times New Roman"/>
        </w:rPr>
        <w:t xml:space="preserve">Battersby, J., &amp; Watson, V. (2019). </w:t>
      </w:r>
      <w:r w:rsidRPr="00933416">
        <w:rPr>
          <w:rFonts w:cs="Times New Roman"/>
          <w:i/>
          <w:iCs/>
        </w:rPr>
        <w:t>Urban food systems governance and poverty in African cities</w:t>
      </w:r>
      <w:r w:rsidRPr="00933416">
        <w:rPr>
          <w:rFonts w:cs="Times New Roman"/>
        </w:rPr>
        <w:t>. Routledge.</w:t>
      </w:r>
    </w:p>
    <w:p w14:paraId="1453F903" w14:textId="77777777" w:rsidR="003B6C66" w:rsidRPr="00933416" w:rsidRDefault="003B6C66" w:rsidP="003B6C66">
      <w:pPr>
        <w:pStyle w:val="ListParagraph"/>
        <w:numPr>
          <w:ilvl w:val="1"/>
          <w:numId w:val="16"/>
        </w:numPr>
        <w:spacing w:line="276" w:lineRule="auto"/>
        <w:ind w:left="426" w:hanging="426"/>
        <w:jc w:val="both"/>
        <w:rPr>
          <w:rFonts w:cs="Times New Roman"/>
        </w:rPr>
      </w:pPr>
      <w:proofErr w:type="spellStart"/>
      <w:r w:rsidRPr="00933416">
        <w:rPr>
          <w:rFonts w:cs="Times New Roman"/>
        </w:rPr>
        <w:t>Benassai</w:t>
      </w:r>
      <w:proofErr w:type="spellEnd"/>
      <w:r w:rsidRPr="00933416">
        <w:rPr>
          <w:rFonts w:cs="Times New Roman"/>
        </w:rPr>
        <w:t xml:space="preserve">-Dalmau, R., </w:t>
      </w:r>
      <w:proofErr w:type="spellStart"/>
      <w:r w:rsidRPr="00933416">
        <w:rPr>
          <w:rFonts w:cs="Times New Roman"/>
        </w:rPr>
        <w:t>Voukelatou</w:t>
      </w:r>
      <w:proofErr w:type="spellEnd"/>
      <w:r w:rsidRPr="00933416">
        <w:rPr>
          <w:rFonts w:cs="Times New Roman"/>
        </w:rPr>
        <w:t xml:space="preserve">, V., Schifanella, R., </w:t>
      </w:r>
      <w:proofErr w:type="spellStart"/>
      <w:r w:rsidRPr="00933416">
        <w:rPr>
          <w:rFonts w:cs="Times New Roman"/>
        </w:rPr>
        <w:t>Fiandrino</w:t>
      </w:r>
      <w:proofErr w:type="spellEnd"/>
      <w:r w:rsidRPr="00933416">
        <w:rPr>
          <w:rFonts w:cs="Times New Roman"/>
        </w:rPr>
        <w:t xml:space="preserve">, S., </w:t>
      </w:r>
      <w:proofErr w:type="spellStart"/>
      <w:r w:rsidRPr="00933416">
        <w:rPr>
          <w:rFonts w:cs="Times New Roman"/>
        </w:rPr>
        <w:t>Paolotti</w:t>
      </w:r>
      <w:proofErr w:type="spellEnd"/>
      <w:r w:rsidRPr="00933416">
        <w:rPr>
          <w:rFonts w:cs="Times New Roman"/>
        </w:rPr>
        <w:t xml:space="preserve">, D., &amp; </w:t>
      </w:r>
      <w:proofErr w:type="spellStart"/>
      <w:r w:rsidRPr="00933416">
        <w:rPr>
          <w:rFonts w:cs="Times New Roman"/>
        </w:rPr>
        <w:t>Kalimeri</w:t>
      </w:r>
      <w:proofErr w:type="spellEnd"/>
      <w:r w:rsidRPr="00933416">
        <w:rPr>
          <w:rFonts w:cs="Times New Roman"/>
        </w:rPr>
        <w:t xml:space="preserve">, K. (2025). Unequal journeys to food markets: Continental-scale evidence from open data in Africa. </w:t>
      </w:r>
      <w:proofErr w:type="spellStart"/>
      <w:r w:rsidRPr="00933416">
        <w:rPr>
          <w:rFonts w:cs="Times New Roman"/>
          <w:i/>
          <w:iCs/>
        </w:rPr>
        <w:t>arXiv</w:t>
      </w:r>
      <w:proofErr w:type="spellEnd"/>
      <w:r w:rsidRPr="00933416">
        <w:rPr>
          <w:rFonts w:cs="Times New Roman"/>
        </w:rPr>
        <w:t xml:space="preserve">. </w:t>
      </w:r>
      <w:hyperlink r:id="rId15" w:tgtFrame="_blank" w:history="1">
        <w:r w:rsidRPr="00933416">
          <w:rPr>
            <w:rStyle w:val="Hyperlink"/>
            <w:rFonts w:cs="Times New Roman"/>
            <w:color w:val="auto"/>
          </w:rPr>
          <w:t>https://arxiv.org/abs/2505.07913</w:t>
        </w:r>
      </w:hyperlink>
    </w:p>
    <w:p w14:paraId="748497AB" w14:textId="77777777" w:rsidR="003B6C66" w:rsidRPr="00933416" w:rsidRDefault="003B6C66" w:rsidP="003B6C66">
      <w:pPr>
        <w:pStyle w:val="ListParagraph"/>
        <w:numPr>
          <w:ilvl w:val="1"/>
          <w:numId w:val="16"/>
        </w:numPr>
        <w:spacing w:line="276" w:lineRule="auto"/>
        <w:ind w:left="426" w:hanging="426"/>
        <w:jc w:val="both"/>
        <w:rPr>
          <w:rFonts w:cs="Times New Roman"/>
        </w:rPr>
      </w:pPr>
      <w:r w:rsidRPr="00933416">
        <w:rPr>
          <w:rFonts w:cs="Times New Roman"/>
        </w:rPr>
        <w:t xml:space="preserve">Chant, S. (2023). </w:t>
      </w:r>
      <w:r w:rsidRPr="00933416">
        <w:rPr>
          <w:rFonts w:cs="Times New Roman"/>
          <w:i/>
          <w:iCs/>
        </w:rPr>
        <w:t>Gender, livelihoods, and urban poverty in the Global South</w:t>
      </w:r>
      <w:r w:rsidRPr="00933416">
        <w:rPr>
          <w:rFonts w:cs="Times New Roman"/>
        </w:rPr>
        <w:t>. Palgrave Macmillan.</w:t>
      </w:r>
    </w:p>
    <w:p w14:paraId="1DBB6213" w14:textId="77777777" w:rsidR="003B6C66" w:rsidRPr="00933416" w:rsidRDefault="003B6C66" w:rsidP="003B6C66">
      <w:pPr>
        <w:pStyle w:val="ListParagraph"/>
        <w:numPr>
          <w:ilvl w:val="1"/>
          <w:numId w:val="16"/>
        </w:numPr>
        <w:spacing w:line="276" w:lineRule="auto"/>
        <w:ind w:left="426" w:hanging="426"/>
        <w:jc w:val="both"/>
        <w:rPr>
          <w:rFonts w:cs="Times New Roman"/>
        </w:rPr>
      </w:pPr>
      <w:r w:rsidRPr="00933416">
        <w:rPr>
          <w:rFonts w:cs="Times New Roman"/>
        </w:rPr>
        <w:t xml:space="preserve">Chilanga, E., &amp; Riley, L. (2022). Accessibility of sanitary facilities among food sellers in African secondary cities: Implications for food safety and urban planning policies. In </w:t>
      </w:r>
      <w:r w:rsidRPr="00933416">
        <w:rPr>
          <w:rFonts w:cs="Times New Roman"/>
          <w:i/>
          <w:iCs/>
        </w:rPr>
        <w:t>Transforming Urban Food Systems in Secondary Cities in Africa</w:t>
      </w:r>
      <w:r w:rsidRPr="00933416">
        <w:rPr>
          <w:rFonts w:cs="Times New Roman"/>
        </w:rPr>
        <w:t xml:space="preserve"> (pp. 331–346). Springer International Publishing.</w:t>
      </w:r>
    </w:p>
    <w:p w14:paraId="38AE3C8F" w14:textId="77777777" w:rsidR="003B6C66" w:rsidRPr="00933416" w:rsidRDefault="003B6C66" w:rsidP="003B6C66">
      <w:pPr>
        <w:pStyle w:val="ListParagraph"/>
        <w:numPr>
          <w:ilvl w:val="1"/>
          <w:numId w:val="16"/>
        </w:numPr>
        <w:spacing w:line="276" w:lineRule="auto"/>
        <w:ind w:left="426" w:hanging="426"/>
        <w:jc w:val="both"/>
        <w:rPr>
          <w:rFonts w:cs="Times New Roman"/>
        </w:rPr>
      </w:pPr>
      <w:r w:rsidRPr="00933416">
        <w:rPr>
          <w:rFonts w:cs="Times New Roman"/>
        </w:rPr>
        <w:lastRenderedPageBreak/>
        <w:t xml:space="preserve">Cook, B., Trevenen-Jones, A., &amp; Sivasubramanian, B. (2024). Nutritional, economic, social, and governance implications of traditional food markets for vulnerable populations in sub-Saharan Africa: A systematic narrative review. </w:t>
      </w:r>
      <w:r w:rsidRPr="00933416">
        <w:rPr>
          <w:rFonts w:cs="Times New Roman"/>
          <w:i/>
          <w:iCs/>
        </w:rPr>
        <w:t>Frontiers in Sustainable Food Systems, 8</w:t>
      </w:r>
      <w:r w:rsidRPr="00933416">
        <w:rPr>
          <w:rFonts w:cs="Times New Roman"/>
        </w:rPr>
        <w:t xml:space="preserve">, 1382383. </w:t>
      </w:r>
      <w:hyperlink r:id="rId16" w:tgtFrame="_blank" w:history="1">
        <w:r w:rsidRPr="00933416">
          <w:rPr>
            <w:rStyle w:val="Hyperlink"/>
            <w:rFonts w:cs="Times New Roman"/>
            <w:color w:val="auto"/>
          </w:rPr>
          <w:t>https://doi.org/10.3389/fsufs.2024.1382383</w:t>
        </w:r>
      </w:hyperlink>
    </w:p>
    <w:p w14:paraId="0F5602A2" w14:textId="77777777" w:rsidR="003B6C66" w:rsidRPr="00933416" w:rsidRDefault="003B6C66" w:rsidP="003B6C66">
      <w:pPr>
        <w:pStyle w:val="ListParagraph"/>
        <w:numPr>
          <w:ilvl w:val="1"/>
          <w:numId w:val="16"/>
        </w:numPr>
        <w:spacing w:line="276" w:lineRule="auto"/>
        <w:ind w:left="426" w:hanging="426"/>
        <w:jc w:val="both"/>
        <w:rPr>
          <w:rFonts w:cs="Times New Roman"/>
        </w:rPr>
      </w:pPr>
      <w:r w:rsidRPr="00933416">
        <w:rPr>
          <w:rFonts w:cs="Times New Roman"/>
        </w:rPr>
        <w:t xml:space="preserve">Cornwall, A. (2016). Women's empowerment: What works? </w:t>
      </w:r>
      <w:r w:rsidRPr="00933416">
        <w:rPr>
          <w:rFonts w:cs="Times New Roman"/>
          <w:i/>
          <w:iCs/>
        </w:rPr>
        <w:t>Journal of International Development, 28</w:t>
      </w:r>
      <w:r w:rsidRPr="00933416">
        <w:rPr>
          <w:rFonts w:cs="Times New Roman"/>
        </w:rPr>
        <w:t>(3), 342–359.</w:t>
      </w:r>
    </w:p>
    <w:p w14:paraId="71AFBBAB" w14:textId="77777777" w:rsidR="003B6C66" w:rsidRPr="00933416" w:rsidRDefault="003B6C66" w:rsidP="003B6C66">
      <w:pPr>
        <w:pStyle w:val="ListParagraph"/>
        <w:numPr>
          <w:ilvl w:val="1"/>
          <w:numId w:val="16"/>
        </w:numPr>
        <w:spacing w:line="276" w:lineRule="auto"/>
        <w:ind w:left="426" w:hanging="426"/>
        <w:jc w:val="both"/>
        <w:rPr>
          <w:rFonts w:cs="Times New Roman"/>
        </w:rPr>
      </w:pPr>
      <w:r w:rsidRPr="00933416">
        <w:rPr>
          <w:rFonts w:cs="Times New Roman"/>
        </w:rPr>
        <w:t xml:space="preserve">Davies, J., </w:t>
      </w:r>
      <w:proofErr w:type="spellStart"/>
      <w:r w:rsidRPr="00933416">
        <w:rPr>
          <w:rFonts w:cs="Times New Roman"/>
        </w:rPr>
        <w:t>Blekking</w:t>
      </w:r>
      <w:proofErr w:type="spellEnd"/>
      <w:r w:rsidRPr="00933416">
        <w:rPr>
          <w:rFonts w:cs="Times New Roman"/>
        </w:rPr>
        <w:t xml:space="preserve">, J., Hannah, C., Zimmer, A., Joshi, N., Anderson, P., </w:t>
      </w:r>
      <w:proofErr w:type="spellStart"/>
      <w:r w:rsidRPr="00933416">
        <w:rPr>
          <w:rFonts w:cs="Times New Roman"/>
        </w:rPr>
        <w:t>Chilenga</w:t>
      </w:r>
      <w:proofErr w:type="spellEnd"/>
      <w:r w:rsidRPr="00933416">
        <w:rPr>
          <w:rFonts w:cs="Times New Roman"/>
        </w:rPr>
        <w:t xml:space="preserve">, A., &amp; Evans, T. (2022). Governance of traditional markets and rural-urban food systems in sub-Saharan Africa. </w:t>
      </w:r>
      <w:r w:rsidRPr="00933416">
        <w:rPr>
          <w:rFonts w:cs="Times New Roman"/>
          <w:i/>
          <w:iCs/>
        </w:rPr>
        <w:t>Habitat International, 127</w:t>
      </w:r>
      <w:r w:rsidRPr="00933416">
        <w:rPr>
          <w:rFonts w:cs="Times New Roman"/>
        </w:rPr>
        <w:t xml:space="preserve">, 102620. </w:t>
      </w:r>
      <w:hyperlink r:id="rId17" w:tgtFrame="_blank" w:history="1">
        <w:r w:rsidRPr="00933416">
          <w:rPr>
            <w:rStyle w:val="Hyperlink"/>
            <w:rFonts w:cs="Times New Roman"/>
            <w:color w:val="auto"/>
          </w:rPr>
          <w:t>https://doi.org/10.1016/j.habitatint.2022.102620</w:t>
        </w:r>
      </w:hyperlink>
    </w:p>
    <w:p w14:paraId="7DBF7F83" w14:textId="77777777" w:rsidR="003B6C66" w:rsidRPr="00933416" w:rsidRDefault="003B6C66" w:rsidP="003B6C66">
      <w:pPr>
        <w:pStyle w:val="ListParagraph"/>
        <w:numPr>
          <w:ilvl w:val="1"/>
          <w:numId w:val="16"/>
        </w:numPr>
        <w:spacing w:line="276" w:lineRule="auto"/>
        <w:ind w:left="426" w:hanging="426"/>
        <w:jc w:val="both"/>
        <w:rPr>
          <w:rFonts w:cs="Times New Roman"/>
        </w:rPr>
      </w:pPr>
      <w:r w:rsidRPr="00933416">
        <w:rPr>
          <w:rFonts w:cs="Times New Roman"/>
        </w:rPr>
        <w:t xml:space="preserve">Davies, M., Haysom, G., &amp; Battersby, J. (2022). Informality and urban food provisioning in African cities. </w:t>
      </w:r>
      <w:r w:rsidRPr="00933416">
        <w:rPr>
          <w:rFonts w:cs="Times New Roman"/>
          <w:i/>
          <w:iCs/>
        </w:rPr>
        <w:t>Food Policy, 109</w:t>
      </w:r>
      <w:r w:rsidRPr="00933416">
        <w:rPr>
          <w:rFonts w:cs="Times New Roman"/>
        </w:rPr>
        <w:t>, 102288.</w:t>
      </w:r>
    </w:p>
    <w:p w14:paraId="368BB01D" w14:textId="77777777" w:rsidR="003B6C66" w:rsidRPr="00933416" w:rsidRDefault="003B6C66" w:rsidP="003B6C66">
      <w:pPr>
        <w:pStyle w:val="ListParagraph"/>
        <w:numPr>
          <w:ilvl w:val="1"/>
          <w:numId w:val="16"/>
        </w:numPr>
        <w:spacing w:line="276" w:lineRule="auto"/>
        <w:ind w:left="426" w:hanging="426"/>
        <w:jc w:val="both"/>
        <w:rPr>
          <w:rFonts w:cs="Times New Roman"/>
        </w:rPr>
      </w:pPr>
      <w:r w:rsidRPr="00933416">
        <w:rPr>
          <w:rFonts w:cs="Times New Roman"/>
        </w:rPr>
        <w:t xml:space="preserve">de Kanter, E., Trevenen-Jones, A., &amp; Billiard, C. M. J. (2024). Nutrition security and traditional food markets in Africa: Gender insights. </w:t>
      </w:r>
      <w:r w:rsidRPr="00933416">
        <w:rPr>
          <w:rFonts w:cs="Times New Roman"/>
          <w:i/>
          <w:iCs/>
        </w:rPr>
        <w:t>Frontiers in Sustainability, 4</w:t>
      </w:r>
      <w:r w:rsidRPr="00933416">
        <w:rPr>
          <w:rFonts w:cs="Times New Roman"/>
        </w:rPr>
        <w:t xml:space="preserve">, 1321499. </w:t>
      </w:r>
      <w:hyperlink r:id="rId18" w:tgtFrame="_blank" w:history="1">
        <w:r w:rsidRPr="00933416">
          <w:rPr>
            <w:rStyle w:val="Hyperlink"/>
            <w:rFonts w:cs="Times New Roman"/>
            <w:color w:val="auto"/>
          </w:rPr>
          <w:t>https://doi.org/10.3389/frsus.2024.1321499</w:t>
        </w:r>
      </w:hyperlink>
    </w:p>
    <w:p w14:paraId="27F01530" w14:textId="77777777" w:rsidR="003B6C66" w:rsidRPr="00933416" w:rsidRDefault="003B6C66" w:rsidP="003B6C66">
      <w:pPr>
        <w:pStyle w:val="ListParagraph"/>
        <w:numPr>
          <w:ilvl w:val="1"/>
          <w:numId w:val="16"/>
        </w:numPr>
        <w:spacing w:line="276" w:lineRule="auto"/>
        <w:ind w:left="426" w:hanging="426"/>
        <w:jc w:val="both"/>
        <w:rPr>
          <w:rFonts w:cs="Times New Roman"/>
        </w:rPr>
      </w:pPr>
      <w:proofErr w:type="spellStart"/>
      <w:r w:rsidRPr="00933416">
        <w:rPr>
          <w:rFonts w:cs="Times New Roman"/>
        </w:rPr>
        <w:t>Engidaw</w:t>
      </w:r>
      <w:proofErr w:type="spellEnd"/>
      <w:r w:rsidRPr="00933416">
        <w:rPr>
          <w:rFonts w:cs="Times New Roman"/>
        </w:rPr>
        <w:t xml:space="preserve">, A. E., Ning, J., </w:t>
      </w:r>
      <w:proofErr w:type="spellStart"/>
      <w:r w:rsidRPr="00933416">
        <w:rPr>
          <w:rFonts w:cs="Times New Roman"/>
        </w:rPr>
        <w:t>Kebad</w:t>
      </w:r>
      <w:proofErr w:type="spellEnd"/>
      <w:r w:rsidRPr="00933416">
        <w:rPr>
          <w:rFonts w:cs="Times New Roman"/>
        </w:rPr>
        <w:t xml:space="preserve">, M. A., et al. (2024). Determining the push factors to involve in street vending activities and their challenges: In the case of Ethiopia. </w:t>
      </w:r>
      <w:r w:rsidRPr="00933416">
        <w:rPr>
          <w:rFonts w:cs="Times New Roman"/>
          <w:i/>
          <w:iCs/>
        </w:rPr>
        <w:t>Journal of Innovation and Entrepreneurship, 13</w:t>
      </w:r>
      <w:r w:rsidRPr="00933416">
        <w:rPr>
          <w:rFonts w:cs="Times New Roman"/>
        </w:rPr>
        <w:t>, 42.</w:t>
      </w:r>
    </w:p>
    <w:p w14:paraId="4069A54F" w14:textId="77777777" w:rsidR="003B6C66" w:rsidRPr="00933416" w:rsidRDefault="003B6C66" w:rsidP="003B6C66">
      <w:pPr>
        <w:pStyle w:val="ListParagraph"/>
        <w:numPr>
          <w:ilvl w:val="1"/>
          <w:numId w:val="16"/>
        </w:numPr>
        <w:spacing w:line="276" w:lineRule="auto"/>
        <w:ind w:left="426" w:hanging="426"/>
        <w:jc w:val="both"/>
        <w:rPr>
          <w:rFonts w:cs="Times New Roman"/>
        </w:rPr>
      </w:pPr>
      <w:proofErr w:type="spellStart"/>
      <w:r w:rsidRPr="00933416">
        <w:rPr>
          <w:rFonts w:cs="Times New Roman"/>
        </w:rPr>
        <w:t>Engidaw</w:t>
      </w:r>
      <w:proofErr w:type="spellEnd"/>
      <w:r w:rsidRPr="00933416">
        <w:rPr>
          <w:rFonts w:cs="Times New Roman"/>
        </w:rPr>
        <w:t xml:space="preserve">, M., Simachew, A., &amp; Tadesse, T. (2023). Determinants of the level of informality amongst female street food vendors in Sub-Saharan Africa. </w:t>
      </w:r>
      <w:r w:rsidRPr="00933416">
        <w:rPr>
          <w:rFonts w:cs="Times New Roman"/>
          <w:i/>
          <w:iCs/>
        </w:rPr>
        <w:t>Journal of Development Economics</w:t>
      </w:r>
      <w:r w:rsidRPr="00933416">
        <w:rPr>
          <w:rFonts w:cs="Times New Roman"/>
        </w:rPr>
        <w:t xml:space="preserve">. </w:t>
      </w:r>
      <w:hyperlink r:id="rId19" w:tgtFrame="_blank" w:history="1">
        <w:r w:rsidRPr="00933416">
          <w:rPr>
            <w:rStyle w:val="Hyperlink"/>
            <w:rFonts w:cs="Times New Roman"/>
            <w:color w:val="auto"/>
          </w:rPr>
          <w:t>https://doi.org/10.1016/j.jdeveco.2023.102946</w:t>
        </w:r>
      </w:hyperlink>
    </w:p>
    <w:p w14:paraId="2FF79D7E" w14:textId="77777777" w:rsidR="003B6C66" w:rsidRPr="00933416" w:rsidRDefault="003B6C66" w:rsidP="003B6C66">
      <w:pPr>
        <w:pStyle w:val="ListParagraph"/>
        <w:numPr>
          <w:ilvl w:val="1"/>
          <w:numId w:val="16"/>
        </w:numPr>
        <w:spacing w:line="276" w:lineRule="auto"/>
        <w:ind w:left="426" w:hanging="426"/>
        <w:jc w:val="both"/>
        <w:rPr>
          <w:rFonts w:cs="Times New Roman"/>
        </w:rPr>
      </w:pPr>
      <w:r w:rsidRPr="00933416">
        <w:rPr>
          <w:rFonts w:cs="Times New Roman"/>
        </w:rPr>
        <w:t xml:space="preserve">Giroux, S., </w:t>
      </w:r>
      <w:proofErr w:type="spellStart"/>
      <w:r w:rsidRPr="00933416">
        <w:rPr>
          <w:rFonts w:cs="Times New Roman"/>
        </w:rPr>
        <w:t>Blekking</w:t>
      </w:r>
      <w:proofErr w:type="spellEnd"/>
      <w:r w:rsidRPr="00933416">
        <w:rPr>
          <w:rFonts w:cs="Times New Roman"/>
        </w:rPr>
        <w:t xml:space="preserve">, J., Waldman, K., Resnick, D., &amp; Fobi, D. (2021). Informal vendors and food systems planning in an emerging African city. </w:t>
      </w:r>
      <w:r w:rsidRPr="00933416">
        <w:rPr>
          <w:rFonts w:cs="Times New Roman"/>
          <w:i/>
          <w:iCs/>
        </w:rPr>
        <w:t>Food Policy, 103</w:t>
      </w:r>
      <w:r w:rsidRPr="00933416">
        <w:rPr>
          <w:rFonts w:cs="Times New Roman"/>
        </w:rPr>
        <w:t xml:space="preserve">, 101997. </w:t>
      </w:r>
      <w:hyperlink r:id="rId20" w:tgtFrame="_blank" w:history="1">
        <w:r w:rsidRPr="00933416">
          <w:rPr>
            <w:rStyle w:val="Hyperlink"/>
            <w:rFonts w:cs="Times New Roman"/>
            <w:color w:val="auto"/>
          </w:rPr>
          <w:t>https://doi.org/10.1016/j.foodpol.2020.101997</w:t>
        </w:r>
      </w:hyperlink>
    </w:p>
    <w:p w14:paraId="4961C3CA" w14:textId="77777777" w:rsidR="003B6C66" w:rsidRPr="00933416" w:rsidRDefault="003B6C66" w:rsidP="003B6C66">
      <w:pPr>
        <w:pStyle w:val="ListParagraph"/>
        <w:numPr>
          <w:ilvl w:val="1"/>
          <w:numId w:val="16"/>
        </w:numPr>
        <w:spacing w:line="276" w:lineRule="auto"/>
        <w:ind w:left="426" w:hanging="426"/>
        <w:jc w:val="both"/>
        <w:rPr>
          <w:rFonts w:cs="Times New Roman"/>
        </w:rPr>
      </w:pPr>
      <w:r w:rsidRPr="00933416">
        <w:rPr>
          <w:rFonts w:cs="Times New Roman"/>
        </w:rPr>
        <w:t>Government of Tanzania (</w:t>
      </w:r>
      <w:proofErr w:type="spellStart"/>
      <w:r w:rsidRPr="00933416">
        <w:rPr>
          <w:rFonts w:cs="Times New Roman"/>
        </w:rPr>
        <w:t>GoT</w:t>
      </w:r>
      <w:proofErr w:type="spellEnd"/>
      <w:r w:rsidRPr="00933416">
        <w:rPr>
          <w:rFonts w:cs="Times New Roman"/>
        </w:rPr>
        <w:t xml:space="preserve">). (2018). Government Notice No. 330 of 2018. </w:t>
      </w:r>
      <w:r w:rsidRPr="00933416">
        <w:rPr>
          <w:rFonts w:cs="Times New Roman"/>
          <w:i/>
          <w:iCs/>
        </w:rPr>
        <w:t>Sheria Ndogo za (</w:t>
      </w:r>
      <w:proofErr w:type="spellStart"/>
      <w:r w:rsidRPr="00933416">
        <w:rPr>
          <w:rFonts w:cs="Times New Roman"/>
          <w:i/>
          <w:iCs/>
        </w:rPr>
        <w:t>Ushuru</w:t>
      </w:r>
      <w:proofErr w:type="spellEnd"/>
      <w:r w:rsidRPr="00933416">
        <w:rPr>
          <w:rFonts w:cs="Times New Roman"/>
          <w:i/>
          <w:iCs/>
        </w:rPr>
        <w:t xml:space="preserve"> </w:t>
      </w:r>
      <w:proofErr w:type="spellStart"/>
      <w:r w:rsidRPr="00933416">
        <w:rPr>
          <w:rFonts w:cs="Times New Roman"/>
          <w:i/>
          <w:iCs/>
        </w:rPr>
        <w:t>wa</w:t>
      </w:r>
      <w:proofErr w:type="spellEnd"/>
      <w:r w:rsidRPr="00933416">
        <w:rPr>
          <w:rFonts w:cs="Times New Roman"/>
          <w:i/>
          <w:iCs/>
        </w:rPr>
        <w:t xml:space="preserve"> </w:t>
      </w:r>
      <w:proofErr w:type="spellStart"/>
      <w:r w:rsidRPr="00933416">
        <w:rPr>
          <w:rFonts w:cs="Times New Roman"/>
          <w:i/>
          <w:iCs/>
        </w:rPr>
        <w:t>Masoko</w:t>
      </w:r>
      <w:proofErr w:type="spellEnd"/>
      <w:r w:rsidRPr="00933416">
        <w:rPr>
          <w:rFonts w:cs="Times New Roman"/>
          <w:i/>
          <w:iCs/>
        </w:rPr>
        <w:t xml:space="preserve"> </w:t>
      </w:r>
      <w:proofErr w:type="spellStart"/>
      <w:r w:rsidRPr="00933416">
        <w:rPr>
          <w:rFonts w:cs="Times New Roman"/>
          <w:i/>
          <w:iCs/>
        </w:rPr>
        <w:t>na</w:t>
      </w:r>
      <w:proofErr w:type="spellEnd"/>
      <w:r w:rsidRPr="00933416">
        <w:rPr>
          <w:rFonts w:cs="Times New Roman"/>
          <w:i/>
          <w:iCs/>
        </w:rPr>
        <w:t xml:space="preserve"> </w:t>
      </w:r>
      <w:proofErr w:type="spellStart"/>
      <w:r w:rsidRPr="00933416">
        <w:rPr>
          <w:rFonts w:cs="Times New Roman"/>
          <w:i/>
          <w:iCs/>
        </w:rPr>
        <w:t>Magulio</w:t>
      </w:r>
      <w:proofErr w:type="spellEnd"/>
      <w:r w:rsidRPr="00933416">
        <w:rPr>
          <w:rFonts w:cs="Times New Roman"/>
          <w:i/>
          <w:iCs/>
        </w:rPr>
        <w:t xml:space="preserve">) za </w:t>
      </w:r>
      <w:proofErr w:type="spellStart"/>
      <w:r w:rsidRPr="00933416">
        <w:rPr>
          <w:rFonts w:cs="Times New Roman"/>
          <w:i/>
          <w:iCs/>
        </w:rPr>
        <w:t>Halmashauri</w:t>
      </w:r>
      <w:proofErr w:type="spellEnd"/>
      <w:r w:rsidRPr="00933416">
        <w:rPr>
          <w:rFonts w:cs="Times New Roman"/>
          <w:i/>
          <w:iCs/>
        </w:rPr>
        <w:t xml:space="preserve"> </w:t>
      </w:r>
      <w:proofErr w:type="spellStart"/>
      <w:r w:rsidRPr="00933416">
        <w:rPr>
          <w:rFonts w:cs="Times New Roman"/>
          <w:i/>
          <w:iCs/>
        </w:rPr>
        <w:t>ya</w:t>
      </w:r>
      <w:proofErr w:type="spellEnd"/>
      <w:r w:rsidRPr="00933416">
        <w:rPr>
          <w:rFonts w:cs="Times New Roman"/>
          <w:i/>
          <w:iCs/>
        </w:rPr>
        <w:t xml:space="preserve"> Manispaa </w:t>
      </w:r>
      <w:proofErr w:type="spellStart"/>
      <w:r w:rsidRPr="00933416">
        <w:rPr>
          <w:rFonts w:cs="Times New Roman"/>
          <w:i/>
          <w:iCs/>
        </w:rPr>
        <w:t>ya</w:t>
      </w:r>
      <w:proofErr w:type="spellEnd"/>
      <w:r w:rsidRPr="00933416">
        <w:rPr>
          <w:rFonts w:cs="Times New Roman"/>
          <w:i/>
          <w:iCs/>
        </w:rPr>
        <w:t xml:space="preserve"> </w:t>
      </w:r>
      <w:proofErr w:type="spellStart"/>
      <w:r w:rsidRPr="00933416">
        <w:rPr>
          <w:rFonts w:cs="Times New Roman"/>
          <w:i/>
          <w:iCs/>
        </w:rPr>
        <w:t>Ubungo</w:t>
      </w:r>
      <w:proofErr w:type="spellEnd"/>
      <w:r w:rsidRPr="00933416">
        <w:rPr>
          <w:rFonts w:cs="Times New Roman"/>
          <w:i/>
          <w:iCs/>
        </w:rPr>
        <w:t xml:space="preserve"> za Mwaka 2018</w:t>
      </w:r>
      <w:r w:rsidRPr="00933416">
        <w:rPr>
          <w:rFonts w:cs="Times New Roman"/>
        </w:rPr>
        <w:t>. Dar es Salaam: Government Printer.</w:t>
      </w:r>
    </w:p>
    <w:p w14:paraId="46A0EE21" w14:textId="77777777" w:rsidR="003B6C66" w:rsidRPr="00933416" w:rsidRDefault="003B6C66" w:rsidP="003B6C66">
      <w:pPr>
        <w:pStyle w:val="ListParagraph"/>
        <w:numPr>
          <w:ilvl w:val="1"/>
          <w:numId w:val="16"/>
        </w:numPr>
        <w:spacing w:line="276" w:lineRule="auto"/>
        <w:ind w:left="426" w:hanging="426"/>
        <w:jc w:val="both"/>
        <w:rPr>
          <w:rFonts w:cs="Times New Roman"/>
        </w:rPr>
      </w:pPr>
      <w:r w:rsidRPr="00933416">
        <w:rPr>
          <w:rFonts w:cs="Times New Roman"/>
        </w:rPr>
        <w:t>Government of Tanzania (</w:t>
      </w:r>
      <w:proofErr w:type="spellStart"/>
      <w:r w:rsidRPr="00933416">
        <w:rPr>
          <w:rFonts w:cs="Times New Roman"/>
        </w:rPr>
        <w:t>GoT</w:t>
      </w:r>
      <w:proofErr w:type="spellEnd"/>
      <w:r w:rsidRPr="00933416">
        <w:rPr>
          <w:rFonts w:cs="Times New Roman"/>
        </w:rPr>
        <w:t xml:space="preserve">). (2019). Government Notice No. 226 of 2019. </w:t>
      </w:r>
      <w:r w:rsidRPr="00933416">
        <w:rPr>
          <w:rFonts w:cs="Times New Roman"/>
          <w:i/>
          <w:iCs/>
        </w:rPr>
        <w:t>Sheria Ndogo za (</w:t>
      </w:r>
      <w:proofErr w:type="spellStart"/>
      <w:r w:rsidRPr="00933416">
        <w:rPr>
          <w:rFonts w:cs="Times New Roman"/>
          <w:i/>
          <w:iCs/>
        </w:rPr>
        <w:t>Ushuru</w:t>
      </w:r>
      <w:proofErr w:type="spellEnd"/>
      <w:r w:rsidRPr="00933416">
        <w:rPr>
          <w:rFonts w:cs="Times New Roman"/>
          <w:i/>
          <w:iCs/>
        </w:rPr>
        <w:t xml:space="preserve"> </w:t>
      </w:r>
      <w:proofErr w:type="spellStart"/>
      <w:r w:rsidRPr="00933416">
        <w:rPr>
          <w:rFonts w:cs="Times New Roman"/>
          <w:i/>
          <w:iCs/>
        </w:rPr>
        <w:t>wa</w:t>
      </w:r>
      <w:proofErr w:type="spellEnd"/>
      <w:r w:rsidRPr="00933416">
        <w:rPr>
          <w:rFonts w:cs="Times New Roman"/>
          <w:i/>
          <w:iCs/>
        </w:rPr>
        <w:t xml:space="preserve"> </w:t>
      </w:r>
      <w:proofErr w:type="spellStart"/>
      <w:r w:rsidRPr="00933416">
        <w:rPr>
          <w:rFonts w:cs="Times New Roman"/>
          <w:i/>
          <w:iCs/>
        </w:rPr>
        <w:t>Masoko</w:t>
      </w:r>
      <w:proofErr w:type="spellEnd"/>
      <w:r w:rsidRPr="00933416">
        <w:rPr>
          <w:rFonts w:cs="Times New Roman"/>
          <w:i/>
          <w:iCs/>
        </w:rPr>
        <w:t xml:space="preserve"> </w:t>
      </w:r>
      <w:proofErr w:type="spellStart"/>
      <w:r w:rsidRPr="00933416">
        <w:rPr>
          <w:rFonts w:cs="Times New Roman"/>
          <w:i/>
          <w:iCs/>
        </w:rPr>
        <w:t>na</w:t>
      </w:r>
      <w:proofErr w:type="spellEnd"/>
      <w:r w:rsidRPr="00933416">
        <w:rPr>
          <w:rFonts w:cs="Times New Roman"/>
          <w:i/>
          <w:iCs/>
        </w:rPr>
        <w:t xml:space="preserve"> </w:t>
      </w:r>
      <w:proofErr w:type="spellStart"/>
      <w:r w:rsidRPr="00933416">
        <w:rPr>
          <w:rFonts w:cs="Times New Roman"/>
          <w:i/>
          <w:iCs/>
        </w:rPr>
        <w:t>Magulio</w:t>
      </w:r>
      <w:proofErr w:type="spellEnd"/>
      <w:r w:rsidRPr="00933416">
        <w:rPr>
          <w:rFonts w:cs="Times New Roman"/>
          <w:i/>
          <w:iCs/>
        </w:rPr>
        <w:t xml:space="preserve">) za </w:t>
      </w:r>
      <w:proofErr w:type="spellStart"/>
      <w:r w:rsidRPr="00933416">
        <w:rPr>
          <w:rFonts w:cs="Times New Roman"/>
          <w:i/>
          <w:iCs/>
        </w:rPr>
        <w:t>Halmashauri</w:t>
      </w:r>
      <w:proofErr w:type="spellEnd"/>
      <w:r w:rsidRPr="00933416">
        <w:rPr>
          <w:rFonts w:cs="Times New Roman"/>
          <w:i/>
          <w:iCs/>
        </w:rPr>
        <w:t xml:space="preserve"> </w:t>
      </w:r>
      <w:proofErr w:type="spellStart"/>
      <w:r w:rsidRPr="00933416">
        <w:rPr>
          <w:rFonts w:cs="Times New Roman"/>
          <w:i/>
          <w:iCs/>
        </w:rPr>
        <w:t>ya</w:t>
      </w:r>
      <w:proofErr w:type="spellEnd"/>
      <w:r w:rsidRPr="00933416">
        <w:rPr>
          <w:rFonts w:cs="Times New Roman"/>
          <w:i/>
          <w:iCs/>
        </w:rPr>
        <w:t xml:space="preserve"> Manispaa </w:t>
      </w:r>
      <w:proofErr w:type="spellStart"/>
      <w:r w:rsidRPr="00933416">
        <w:rPr>
          <w:rFonts w:cs="Times New Roman"/>
          <w:i/>
          <w:iCs/>
        </w:rPr>
        <w:t>ya</w:t>
      </w:r>
      <w:proofErr w:type="spellEnd"/>
      <w:r w:rsidRPr="00933416">
        <w:rPr>
          <w:rFonts w:cs="Times New Roman"/>
          <w:i/>
          <w:iCs/>
        </w:rPr>
        <w:t xml:space="preserve"> </w:t>
      </w:r>
      <w:proofErr w:type="spellStart"/>
      <w:r w:rsidRPr="00933416">
        <w:rPr>
          <w:rFonts w:cs="Times New Roman"/>
          <w:i/>
          <w:iCs/>
        </w:rPr>
        <w:t>Ubungo</w:t>
      </w:r>
      <w:proofErr w:type="spellEnd"/>
      <w:r w:rsidRPr="00933416">
        <w:rPr>
          <w:rFonts w:cs="Times New Roman"/>
          <w:i/>
          <w:iCs/>
        </w:rPr>
        <w:t xml:space="preserve"> za Mwaka 2019</w:t>
      </w:r>
      <w:r w:rsidRPr="00933416">
        <w:rPr>
          <w:rFonts w:cs="Times New Roman"/>
        </w:rPr>
        <w:t>. Dar es Salaam: Government Printer.</w:t>
      </w:r>
    </w:p>
    <w:p w14:paraId="26DC4859" w14:textId="77777777" w:rsidR="003B6C66" w:rsidRPr="00933416" w:rsidRDefault="003B6C66" w:rsidP="003B6C66">
      <w:pPr>
        <w:pStyle w:val="ListParagraph"/>
        <w:numPr>
          <w:ilvl w:val="1"/>
          <w:numId w:val="16"/>
        </w:numPr>
        <w:spacing w:line="276" w:lineRule="auto"/>
        <w:ind w:left="426" w:hanging="426"/>
        <w:jc w:val="both"/>
        <w:rPr>
          <w:rFonts w:cs="Times New Roman"/>
        </w:rPr>
      </w:pPr>
      <w:r w:rsidRPr="00933416">
        <w:rPr>
          <w:rFonts w:cs="Times New Roman"/>
        </w:rPr>
        <w:t>Government of Tanzania (</w:t>
      </w:r>
      <w:proofErr w:type="spellStart"/>
      <w:r w:rsidRPr="00933416">
        <w:rPr>
          <w:rFonts w:cs="Times New Roman"/>
        </w:rPr>
        <w:t>GoT</w:t>
      </w:r>
      <w:proofErr w:type="spellEnd"/>
      <w:r w:rsidRPr="00933416">
        <w:rPr>
          <w:rFonts w:cs="Times New Roman"/>
        </w:rPr>
        <w:t xml:space="preserve">). (2022). Government Notice No. 586 of 2022. </w:t>
      </w:r>
      <w:r w:rsidRPr="00933416">
        <w:rPr>
          <w:rFonts w:cs="Times New Roman"/>
          <w:i/>
          <w:iCs/>
        </w:rPr>
        <w:t>Sheria Ndogo za (</w:t>
      </w:r>
      <w:proofErr w:type="spellStart"/>
      <w:r w:rsidRPr="00933416">
        <w:rPr>
          <w:rFonts w:cs="Times New Roman"/>
          <w:i/>
          <w:iCs/>
        </w:rPr>
        <w:t>Ushuru</w:t>
      </w:r>
      <w:proofErr w:type="spellEnd"/>
      <w:r w:rsidRPr="00933416">
        <w:rPr>
          <w:rFonts w:cs="Times New Roman"/>
          <w:i/>
          <w:iCs/>
        </w:rPr>
        <w:t xml:space="preserve"> </w:t>
      </w:r>
      <w:proofErr w:type="spellStart"/>
      <w:r w:rsidRPr="00933416">
        <w:rPr>
          <w:rFonts w:cs="Times New Roman"/>
          <w:i/>
          <w:iCs/>
        </w:rPr>
        <w:t>wa</w:t>
      </w:r>
      <w:proofErr w:type="spellEnd"/>
      <w:r w:rsidRPr="00933416">
        <w:rPr>
          <w:rFonts w:cs="Times New Roman"/>
          <w:i/>
          <w:iCs/>
        </w:rPr>
        <w:t xml:space="preserve"> </w:t>
      </w:r>
      <w:proofErr w:type="spellStart"/>
      <w:r w:rsidRPr="00933416">
        <w:rPr>
          <w:rFonts w:cs="Times New Roman"/>
          <w:i/>
          <w:iCs/>
        </w:rPr>
        <w:t>Masoko</w:t>
      </w:r>
      <w:proofErr w:type="spellEnd"/>
      <w:r w:rsidRPr="00933416">
        <w:rPr>
          <w:rFonts w:cs="Times New Roman"/>
          <w:i/>
          <w:iCs/>
        </w:rPr>
        <w:t xml:space="preserve"> </w:t>
      </w:r>
      <w:proofErr w:type="spellStart"/>
      <w:r w:rsidRPr="00933416">
        <w:rPr>
          <w:rFonts w:cs="Times New Roman"/>
          <w:i/>
          <w:iCs/>
        </w:rPr>
        <w:t>na</w:t>
      </w:r>
      <w:proofErr w:type="spellEnd"/>
      <w:r w:rsidRPr="00933416">
        <w:rPr>
          <w:rFonts w:cs="Times New Roman"/>
          <w:i/>
          <w:iCs/>
        </w:rPr>
        <w:t xml:space="preserve"> </w:t>
      </w:r>
      <w:proofErr w:type="spellStart"/>
      <w:r w:rsidRPr="00933416">
        <w:rPr>
          <w:rFonts w:cs="Times New Roman"/>
          <w:i/>
          <w:iCs/>
        </w:rPr>
        <w:t>Magulio</w:t>
      </w:r>
      <w:proofErr w:type="spellEnd"/>
      <w:r w:rsidRPr="00933416">
        <w:rPr>
          <w:rFonts w:cs="Times New Roman"/>
          <w:i/>
          <w:iCs/>
        </w:rPr>
        <w:t xml:space="preserve">) za </w:t>
      </w:r>
      <w:proofErr w:type="spellStart"/>
      <w:r w:rsidRPr="00933416">
        <w:rPr>
          <w:rFonts w:cs="Times New Roman"/>
          <w:i/>
          <w:iCs/>
        </w:rPr>
        <w:t>Halmashauri</w:t>
      </w:r>
      <w:proofErr w:type="spellEnd"/>
      <w:r w:rsidRPr="00933416">
        <w:rPr>
          <w:rFonts w:cs="Times New Roman"/>
          <w:i/>
          <w:iCs/>
        </w:rPr>
        <w:t xml:space="preserve"> </w:t>
      </w:r>
      <w:proofErr w:type="spellStart"/>
      <w:r w:rsidRPr="00933416">
        <w:rPr>
          <w:rFonts w:cs="Times New Roman"/>
          <w:i/>
          <w:iCs/>
        </w:rPr>
        <w:t>ya</w:t>
      </w:r>
      <w:proofErr w:type="spellEnd"/>
      <w:r w:rsidRPr="00933416">
        <w:rPr>
          <w:rFonts w:cs="Times New Roman"/>
          <w:i/>
          <w:iCs/>
        </w:rPr>
        <w:t xml:space="preserve"> Manispaa </w:t>
      </w:r>
      <w:proofErr w:type="spellStart"/>
      <w:r w:rsidRPr="00933416">
        <w:rPr>
          <w:rFonts w:cs="Times New Roman"/>
          <w:i/>
          <w:iCs/>
        </w:rPr>
        <w:t>ya</w:t>
      </w:r>
      <w:proofErr w:type="spellEnd"/>
      <w:r w:rsidRPr="00933416">
        <w:rPr>
          <w:rFonts w:cs="Times New Roman"/>
          <w:i/>
          <w:iCs/>
        </w:rPr>
        <w:t xml:space="preserve"> Temeke za Mwaka 2022</w:t>
      </w:r>
      <w:r w:rsidRPr="00933416">
        <w:rPr>
          <w:rFonts w:cs="Times New Roman"/>
        </w:rPr>
        <w:t>. Dar es Salaam: Government Printer.</w:t>
      </w:r>
    </w:p>
    <w:p w14:paraId="6BD0486F" w14:textId="77777777" w:rsidR="003B6C66" w:rsidRPr="00933416" w:rsidRDefault="003B6C66" w:rsidP="003B6C66">
      <w:pPr>
        <w:pStyle w:val="ListParagraph"/>
        <w:numPr>
          <w:ilvl w:val="1"/>
          <w:numId w:val="16"/>
        </w:numPr>
        <w:spacing w:line="276" w:lineRule="auto"/>
        <w:ind w:left="426" w:hanging="426"/>
        <w:jc w:val="both"/>
        <w:rPr>
          <w:rFonts w:cs="Times New Roman"/>
        </w:rPr>
      </w:pPr>
      <w:r w:rsidRPr="00933416">
        <w:rPr>
          <w:rFonts w:cs="Times New Roman"/>
        </w:rPr>
        <w:t xml:space="preserve">Guest, G., Namey, E., &amp; Chen, M. (2020). A simple method to assess and report thematic saturation in qualitative research. </w:t>
      </w:r>
      <w:proofErr w:type="spellStart"/>
      <w:r w:rsidRPr="00933416">
        <w:rPr>
          <w:rFonts w:cs="Times New Roman"/>
          <w:i/>
          <w:iCs/>
        </w:rPr>
        <w:t>PLoS</w:t>
      </w:r>
      <w:proofErr w:type="spellEnd"/>
      <w:r w:rsidRPr="00933416">
        <w:rPr>
          <w:rFonts w:cs="Times New Roman"/>
          <w:i/>
          <w:iCs/>
        </w:rPr>
        <w:t xml:space="preserve"> ONE, 15</w:t>
      </w:r>
      <w:r w:rsidRPr="00933416">
        <w:rPr>
          <w:rFonts w:cs="Times New Roman"/>
        </w:rPr>
        <w:t xml:space="preserve">(5), e0232076. </w:t>
      </w:r>
      <w:hyperlink r:id="rId21" w:tgtFrame="_blank" w:history="1">
        <w:r w:rsidRPr="00933416">
          <w:rPr>
            <w:rStyle w:val="Hyperlink"/>
            <w:rFonts w:cs="Times New Roman"/>
            <w:color w:val="auto"/>
          </w:rPr>
          <w:t>https://doi.org/10.1371/journal.pone.0232076</w:t>
        </w:r>
      </w:hyperlink>
    </w:p>
    <w:p w14:paraId="3077BCD1" w14:textId="77777777" w:rsidR="003B6C66" w:rsidRPr="00933416" w:rsidRDefault="003B6C66" w:rsidP="003B6C66">
      <w:pPr>
        <w:pStyle w:val="ListParagraph"/>
        <w:numPr>
          <w:ilvl w:val="1"/>
          <w:numId w:val="16"/>
        </w:numPr>
        <w:spacing w:line="276" w:lineRule="auto"/>
        <w:ind w:left="426" w:hanging="426"/>
        <w:jc w:val="both"/>
        <w:rPr>
          <w:rFonts w:cs="Times New Roman"/>
        </w:rPr>
      </w:pPr>
      <w:r w:rsidRPr="00933416">
        <w:rPr>
          <w:rFonts w:cs="Times New Roman"/>
        </w:rPr>
        <w:t xml:space="preserve">Kabeer, N. (1994). </w:t>
      </w:r>
      <w:r w:rsidRPr="00933416">
        <w:rPr>
          <w:rFonts w:cs="Times New Roman"/>
          <w:i/>
          <w:iCs/>
        </w:rPr>
        <w:t>Reversed realities: Gender hierarchies in development thought</w:t>
      </w:r>
      <w:r w:rsidRPr="00933416">
        <w:rPr>
          <w:rFonts w:cs="Times New Roman"/>
        </w:rPr>
        <w:t>. Verso.</w:t>
      </w:r>
    </w:p>
    <w:p w14:paraId="7C936661" w14:textId="77777777" w:rsidR="003B6C66" w:rsidRPr="00933416" w:rsidRDefault="003B6C66" w:rsidP="003B6C66">
      <w:pPr>
        <w:pStyle w:val="ListParagraph"/>
        <w:numPr>
          <w:ilvl w:val="1"/>
          <w:numId w:val="16"/>
        </w:numPr>
        <w:spacing w:line="276" w:lineRule="auto"/>
        <w:ind w:left="426" w:hanging="426"/>
        <w:jc w:val="both"/>
        <w:rPr>
          <w:rFonts w:cs="Times New Roman"/>
        </w:rPr>
      </w:pPr>
      <w:r w:rsidRPr="00933416">
        <w:rPr>
          <w:rFonts w:cs="Times New Roman"/>
        </w:rPr>
        <w:t xml:space="preserve">Kabeer, N. (1999). Resources, agency, achievements: Reflections on the measurement of women’s empowerment. </w:t>
      </w:r>
      <w:r w:rsidRPr="00933416">
        <w:rPr>
          <w:rFonts w:cs="Times New Roman"/>
          <w:i/>
          <w:iCs/>
        </w:rPr>
        <w:t>Development and Change, 30</w:t>
      </w:r>
      <w:r w:rsidRPr="00933416">
        <w:rPr>
          <w:rFonts w:cs="Times New Roman"/>
        </w:rPr>
        <w:t>(3), 435–464.</w:t>
      </w:r>
    </w:p>
    <w:p w14:paraId="3DCB89E1" w14:textId="77777777" w:rsidR="003B6C66" w:rsidRPr="00933416" w:rsidRDefault="003B6C66" w:rsidP="003B6C66">
      <w:pPr>
        <w:pStyle w:val="ListParagraph"/>
        <w:numPr>
          <w:ilvl w:val="1"/>
          <w:numId w:val="16"/>
        </w:numPr>
        <w:spacing w:line="276" w:lineRule="auto"/>
        <w:ind w:left="426" w:hanging="426"/>
        <w:jc w:val="both"/>
        <w:rPr>
          <w:rFonts w:cs="Times New Roman"/>
        </w:rPr>
      </w:pPr>
      <w:r w:rsidRPr="00933416">
        <w:rPr>
          <w:rFonts w:cs="Times New Roman"/>
        </w:rPr>
        <w:t xml:space="preserve">Kabeer, N. (2012). Women’s economic empowerment and inclusive growth: </w:t>
      </w:r>
      <w:proofErr w:type="spellStart"/>
      <w:r w:rsidRPr="00933416">
        <w:rPr>
          <w:rFonts w:cs="Times New Roman"/>
        </w:rPr>
        <w:t>Labour</w:t>
      </w:r>
      <w:proofErr w:type="spellEnd"/>
      <w:r w:rsidRPr="00933416">
        <w:rPr>
          <w:rFonts w:cs="Times New Roman"/>
        </w:rPr>
        <w:t xml:space="preserve"> markets and enterprise development. International Development Research Centre (IDRC).</w:t>
      </w:r>
    </w:p>
    <w:p w14:paraId="44755348" w14:textId="77777777" w:rsidR="003B6C66" w:rsidRPr="00933416" w:rsidRDefault="003B6C66" w:rsidP="003B6C66">
      <w:pPr>
        <w:pStyle w:val="ListParagraph"/>
        <w:numPr>
          <w:ilvl w:val="1"/>
          <w:numId w:val="16"/>
        </w:numPr>
        <w:spacing w:line="276" w:lineRule="auto"/>
        <w:ind w:left="426" w:hanging="426"/>
        <w:jc w:val="both"/>
        <w:rPr>
          <w:rFonts w:cs="Times New Roman"/>
        </w:rPr>
      </w:pPr>
      <w:r w:rsidRPr="00933416">
        <w:rPr>
          <w:rFonts w:cs="Times New Roman"/>
        </w:rPr>
        <w:t xml:space="preserve">Kapinga, A. F., &amp; Montero, C. S. (2017). Exploring the socio-cultural challenges of food processing women entrepreneurs in Iringa, Tanzania, and strategies used to tackle them. </w:t>
      </w:r>
      <w:r w:rsidRPr="00933416">
        <w:rPr>
          <w:rFonts w:cs="Times New Roman"/>
          <w:i/>
          <w:iCs/>
        </w:rPr>
        <w:lastRenderedPageBreak/>
        <w:t>Journal of Global Entrepreneurship Research, 7</w:t>
      </w:r>
      <w:r w:rsidRPr="00933416">
        <w:rPr>
          <w:rFonts w:cs="Times New Roman"/>
        </w:rPr>
        <w:t xml:space="preserve">, 17. </w:t>
      </w:r>
      <w:hyperlink r:id="rId22" w:tgtFrame="_blank" w:history="1">
        <w:r w:rsidRPr="00933416">
          <w:rPr>
            <w:rStyle w:val="Hyperlink"/>
            <w:rFonts w:cs="Times New Roman"/>
            <w:color w:val="auto"/>
          </w:rPr>
          <w:t>https://doi.org/10.1186/s40497-017-0076-0</w:t>
        </w:r>
      </w:hyperlink>
    </w:p>
    <w:p w14:paraId="6408C320" w14:textId="77777777" w:rsidR="003B6C66" w:rsidRPr="00933416" w:rsidRDefault="003B6C66" w:rsidP="003B6C66">
      <w:pPr>
        <w:pStyle w:val="ListParagraph"/>
        <w:numPr>
          <w:ilvl w:val="1"/>
          <w:numId w:val="16"/>
        </w:numPr>
        <w:spacing w:line="276" w:lineRule="auto"/>
        <w:ind w:left="426" w:hanging="426"/>
        <w:jc w:val="both"/>
        <w:rPr>
          <w:rFonts w:cs="Times New Roman"/>
        </w:rPr>
      </w:pPr>
      <w:r w:rsidRPr="00933416">
        <w:rPr>
          <w:rFonts w:cs="Times New Roman"/>
        </w:rPr>
        <w:t>Levin, C. E., Ruel, M. T., Morris, S. S., Maxwell, D. G., Armar-</w:t>
      </w:r>
      <w:proofErr w:type="spellStart"/>
      <w:r w:rsidRPr="00933416">
        <w:rPr>
          <w:rFonts w:cs="Times New Roman"/>
        </w:rPr>
        <w:t>Klemesu</w:t>
      </w:r>
      <w:proofErr w:type="spellEnd"/>
      <w:r w:rsidRPr="00933416">
        <w:rPr>
          <w:rFonts w:cs="Times New Roman"/>
        </w:rPr>
        <w:t xml:space="preserve">, M., &amp; Ahiadeke, C. (1999). Working women in an urban setting: Traders, vendors, and food security in Accra. </w:t>
      </w:r>
      <w:r w:rsidRPr="00933416">
        <w:rPr>
          <w:rFonts w:cs="Times New Roman"/>
          <w:i/>
          <w:iCs/>
        </w:rPr>
        <w:t>World Development, 27</w:t>
      </w:r>
      <w:r w:rsidRPr="00933416">
        <w:rPr>
          <w:rFonts w:cs="Times New Roman"/>
        </w:rPr>
        <w:t xml:space="preserve">(11), 1977–1991. </w:t>
      </w:r>
      <w:hyperlink r:id="rId23" w:tgtFrame="_blank" w:history="1">
        <w:r w:rsidRPr="00933416">
          <w:rPr>
            <w:rStyle w:val="Hyperlink"/>
            <w:rFonts w:cs="Times New Roman"/>
            <w:color w:val="auto"/>
          </w:rPr>
          <w:t>https://doi.org/10.1016/S0305-750X(99)00096-0</w:t>
        </w:r>
      </w:hyperlink>
    </w:p>
    <w:p w14:paraId="3F3297E3" w14:textId="77777777" w:rsidR="003B6C66" w:rsidRPr="00933416" w:rsidRDefault="003B6C66" w:rsidP="003B6C66">
      <w:pPr>
        <w:pStyle w:val="ListParagraph"/>
        <w:numPr>
          <w:ilvl w:val="1"/>
          <w:numId w:val="16"/>
        </w:numPr>
        <w:spacing w:line="276" w:lineRule="auto"/>
        <w:ind w:left="426" w:hanging="426"/>
        <w:jc w:val="both"/>
        <w:rPr>
          <w:rFonts w:eastAsia="Times New Roman" w:cs="Times New Roman"/>
          <w:kern w:val="0"/>
          <w14:ligatures w14:val="none"/>
        </w:rPr>
      </w:pPr>
      <w:proofErr w:type="spellStart"/>
      <w:r w:rsidRPr="00933416">
        <w:t>Magesa</w:t>
      </w:r>
      <w:proofErr w:type="spellEnd"/>
      <w:r w:rsidRPr="00933416">
        <w:t xml:space="preserve">, R., Shimba, C., &amp; </w:t>
      </w:r>
      <w:proofErr w:type="spellStart"/>
      <w:r w:rsidRPr="00933416">
        <w:t>Magombola</w:t>
      </w:r>
      <w:proofErr w:type="spellEnd"/>
      <w:r w:rsidRPr="00933416">
        <w:t xml:space="preserve">, D. (2013). Investigating impediments towards access to financial services by women entrepreneurs: A case of </w:t>
      </w:r>
      <w:proofErr w:type="spellStart"/>
      <w:r w:rsidRPr="00933416">
        <w:t>Arumeru</w:t>
      </w:r>
      <w:proofErr w:type="spellEnd"/>
      <w:r w:rsidRPr="00933416">
        <w:t xml:space="preserve"> District. </w:t>
      </w:r>
      <w:r w:rsidRPr="00933416">
        <w:rPr>
          <w:i/>
          <w:iCs/>
        </w:rPr>
        <w:t>Developing Country Studies, 3</w:t>
      </w:r>
      <w:r w:rsidRPr="00933416">
        <w:t>(11), 105–110.</w:t>
      </w:r>
    </w:p>
    <w:p w14:paraId="12F9C392" w14:textId="77777777" w:rsidR="003B6C66" w:rsidRPr="00933416" w:rsidRDefault="003B6C66" w:rsidP="003B6C66">
      <w:pPr>
        <w:pStyle w:val="ListParagraph"/>
        <w:numPr>
          <w:ilvl w:val="1"/>
          <w:numId w:val="16"/>
        </w:numPr>
        <w:spacing w:line="276" w:lineRule="auto"/>
        <w:ind w:left="426" w:hanging="426"/>
        <w:jc w:val="both"/>
        <w:rPr>
          <w:rFonts w:cs="Times New Roman"/>
        </w:rPr>
      </w:pPr>
      <w:proofErr w:type="spellStart"/>
      <w:r w:rsidRPr="00933416">
        <w:rPr>
          <w:rFonts w:cs="Times New Roman"/>
        </w:rPr>
        <w:t>Mahopo</w:t>
      </w:r>
      <w:proofErr w:type="spellEnd"/>
      <w:r w:rsidRPr="00933416">
        <w:rPr>
          <w:rFonts w:cs="Times New Roman"/>
        </w:rPr>
        <w:t xml:space="preserve">, T. C., </w:t>
      </w:r>
      <w:proofErr w:type="spellStart"/>
      <w:r w:rsidRPr="00933416">
        <w:rPr>
          <w:rFonts w:cs="Times New Roman"/>
        </w:rPr>
        <w:t>Nesamvuni</w:t>
      </w:r>
      <w:proofErr w:type="spellEnd"/>
      <w:r w:rsidRPr="00933416">
        <w:rPr>
          <w:rFonts w:cs="Times New Roman"/>
        </w:rPr>
        <w:t xml:space="preserve">, C. N., </w:t>
      </w:r>
      <w:proofErr w:type="spellStart"/>
      <w:r w:rsidRPr="00933416">
        <w:rPr>
          <w:rFonts w:cs="Times New Roman"/>
        </w:rPr>
        <w:t>Nesamvuni</w:t>
      </w:r>
      <w:proofErr w:type="spellEnd"/>
      <w:r w:rsidRPr="00933416">
        <w:rPr>
          <w:rFonts w:cs="Times New Roman"/>
        </w:rPr>
        <w:t xml:space="preserve">, A. E., de </w:t>
      </w:r>
      <w:proofErr w:type="spellStart"/>
      <w:r w:rsidRPr="00933416">
        <w:rPr>
          <w:rFonts w:cs="Times New Roman"/>
        </w:rPr>
        <w:t>Bryun</w:t>
      </w:r>
      <w:proofErr w:type="spellEnd"/>
      <w:r w:rsidRPr="00933416">
        <w:rPr>
          <w:rFonts w:cs="Times New Roman"/>
        </w:rPr>
        <w:t xml:space="preserve">, M., van Niekerk, J., &amp; Ambikapathi, R. (2022). Operational characteristics of women street food vendors in rural South Africa. </w:t>
      </w:r>
      <w:r w:rsidRPr="00933416">
        <w:rPr>
          <w:rFonts w:cs="Times New Roman"/>
          <w:i/>
          <w:iCs/>
        </w:rPr>
        <w:t>Frontiers in Public Health, 10</w:t>
      </w:r>
      <w:r w:rsidRPr="00933416">
        <w:rPr>
          <w:rFonts w:cs="Times New Roman"/>
        </w:rPr>
        <w:t xml:space="preserve">, 849059. </w:t>
      </w:r>
      <w:hyperlink r:id="rId24" w:tgtFrame="_blank" w:history="1">
        <w:r w:rsidRPr="00933416">
          <w:rPr>
            <w:rStyle w:val="Hyperlink"/>
            <w:rFonts w:cs="Times New Roman"/>
            <w:color w:val="auto"/>
          </w:rPr>
          <w:t>https://doi.org/10.3389/fpubh.2022.849059</w:t>
        </w:r>
      </w:hyperlink>
    </w:p>
    <w:p w14:paraId="12D0854B" w14:textId="77777777" w:rsidR="003B6C66" w:rsidRPr="00933416" w:rsidRDefault="003B6C66" w:rsidP="003B6C66">
      <w:pPr>
        <w:pStyle w:val="ListParagraph"/>
        <w:numPr>
          <w:ilvl w:val="1"/>
          <w:numId w:val="16"/>
        </w:numPr>
        <w:spacing w:line="276" w:lineRule="auto"/>
        <w:ind w:left="426" w:hanging="426"/>
        <w:jc w:val="both"/>
        <w:rPr>
          <w:rFonts w:cs="Times New Roman"/>
        </w:rPr>
      </w:pPr>
      <w:r w:rsidRPr="00933416">
        <w:rPr>
          <w:rFonts w:cs="Times New Roman"/>
        </w:rPr>
        <w:t xml:space="preserve">March, C., Smyth, I., &amp; Mukhopadhyay, M. (1999). </w:t>
      </w:r>
      <w:r w:rsidRPr="00933416">
        <w:rPr>
          <w:rFonts w:cs="Times New Roman"/>
          <w:i/>
          <w:iCs/>
        </w:rPr>
        <w:t>A guide to gender-analysis frameworks</w:t>
      </w:r>
      <w:r w:rsidRPr="00933416">
        <w:rPr>
          <w:rFonts w:cs="Times New Roman"/>
        </w:rPr>
        <w:t>. Oxfam.</w:t>
      </w:r>
    </w:p>
    <w:p w14:paraId="64964C23" w14:textId="77777777" w:rsidR="003B6C66" w:rsidRPr="00933416" w:rsidRDefault="003B6C66" w:rsidP="003B6C66">
      <w:pPr>
        <w:pStyle w:val="ListParagraph"/>
        <w:numPr>
          <w:ilvl w:val="1"/>
          <w:numId w:val="16"/>
        </w:numPr>
        <w:spacing w:line="276" w:lineRule="auto"/>
        <w:ind w:left="426" w:hanging="426"/>
        <w:jc w:val="both"/>
        <w:rPr>
          <w:rFonts w:cs="Times New Roman"/>
        </w:rPr>
      </w:pPr>
      <w:proofErr w:type="spellStart"/>
      <w:r w:rsidRPr="00933416">
        <w:rPr>
          <w:rFonts w:cs="Times New Roman"/>
        </w:rPr>
        <w:t>Masamha</w:t>
      </w:r>
      <w:proofErr w:type="spellEnd"/>
      <w:r w:rsidRPr="00933416">
        <w:rPr>
          <w:rFonts w:cs="Times New Roman"/>
        </w:rPr>
        <w:t xml:space="preserve">, B., Thebe, V., &amp; </w:t>
      </w:r>
      <w:proofErr w:type="spellStart"/>
      <w:r w:rsidRPr="00933416">
        <w:rPr>
          <w:rFonts w:cs="Times New Roman"/>
        </w:rPr>
        <w:t>Uzokwe</w:t>
      </w:r>
      <w:proofErr w:type="spellEnd"/>
      <w:r w:rsidRPr="00933416">
        <w:rPr>
          <w:rFonts w:cs="Times New Roman"/>
        </w:rPr>
        <w:t xml:space="preserve">, V. N. E. (2018). Mapping cassava food value chains in Tanzania's smallholder farming sector: The implications of intra-household gender dynamics. </w:t>
      </w:r>
      <w:r w:rsidRPr="00933416">
        <w:rPr>
          <w:rFonts w:cs="Times New Roman"/>
          <w:i/>
          <w:iCs/>
        </w:rPr>
        <w:t>Journal of Rural Studies, 58</w:t>
      </w:r>
      <w:r w:rsidRPr="00933416">
        <w:rPr>
          <w:rFonts w:cs="Times New Roman"/>
        </w:rPr>
        <w:t xml:space="preserve">, 82–92. </w:t>
      </w:r>
      <w:hyperlink r:id="rId25" w:tgtFrame="_blank" w:history="1">
        <w:r w:rsidRPr="00933416">
          <w:rPr>
            <w:rStyle w:val="Hyperlink"/>
            <w:rFonts w:cs="Times New Roman"/>
            <w:color w:val="auto"/>
          </w:rPr>
          <w:t>https://doi.org/10.1016/j.jrurstud.2017.10.014</w:t>
        </w:r>
      </w:hyperlink>
    </w:p>
    <w:p w14:paraId="74F3B5E6" w14:textId="77777777" w:rsidR="003B6C66" w:rsidRPr="00933416" w:rsidRDefault="003B6C66" w:rsidP="003B6C66">
      <w:pPr>
        <w:pStyle w:val="ListParagraph"/>
        <w:numPr>
          <w:ilvl w:val="1"/>
          <w:numId w:val="16"/>
        </w:numPr>
        <w:spacing w:line="276" w:lineRule="auto"/>
        <w:ind w:left="426" w:hanging="426"/>
        <w:jc w:val="both"/>
        <w:rPr>
          <w:rFonts w:cs="Times New Roman"/>
        </w:rPr>
      </w:pPr>
      <w:r w:rsidRPr="00933416">
        <w:rPr>
          <w:rFonts w:cs="Times New Roman"/>
        </w:rPr>
        <w:t>Me-</w:t>
      </w:r>
      <w:proofErr w:type="spellStart"/>
      <w:r w:rsidRPr="00933416">
        <w:rPr>
          <w:rFonts w:cs="Times New Roman"/>
        </w:rPr>
        <w:t>Nsope</w:t>
      </w:r>
      <w:proofErr w:type="spellEnd"/>
      <w:r w:rsidRPr="00933416">
        <w:rPr>
          <w:rFonts w:cs="Times New Roman"/>
        </w:rPr>
        <w:t xml:space="preserve">, N., &amp; Larkins, M. (2016). Beyond crop production: Gender relations along the pigeon pea value chain and implications for income and food security in Malawi. </w:t>
      </w:r>
      <w:r w:rsidRPr="00933416">
        <w:rPr>
          <w:rFonts w:cs="Times New Roman"/>
          <w:i/>
          <w:iCs/>
        </w:rPr>
        <w:t>Journal of Gender, Agriculture and Food Security, 1</w:t>
      </w:r>
      <w:r w:rsidRPr="00933416">
        <w:rPr>
          <w:rFonts w:cs="Times New Roman"/>
        </w:rPr>
        <w:t>(3), 1–22.</w:t>
      </w:r>
    </w:p>
    <w:p w14:paraId="44963AEE" w14:textId="77777777" w:rsidR="003B6C66" w:rsidRPr="00933416" w:rsidRDefault="003B6C66" w:rsidP="003B6C66">
      <w:pPr>
        <w:pStyle w:val="ListParagraph"/>
        <w:numPr>
          <w:ilvl w:val="1"/>
          <w:numId w:val="16"/>
        </w:numPr>
        <w:spacing w:line="276" w:lineRule="auto"/>
        <w:ind w:left="426" w:hanging="426"/>
        <w:jc w:val="both"/>
        <w:rPr>
          <w:rFonts w:cs="Times New Roman"/>
        </w:rPr>
      </w:pPr>
      <w:proofErr w:type="spellStart"/>
      <w:r w:rsidRPr="00933416">
        <w:rPr>
          <w:rFonts w:cs="Times New Roman"/>
        </w:rPr>
        <w:t>Ograh</w:t>
      </w:r>
      <w:proofErr w:type="spellEnd"/>
      <w:r w:rsidRPr="00933416">
        <w:rPr>
          <w:rFonts w:cs="Times New Roman"/>
        </w:rPr>
        <w:t xml:space="preserve">, T., </w:t>
      </w:r>
      <w:proofErr w:type="spellStart"/>
      <w:r w:rsidRPr="00933416">
        <w:rPr>
          <w:rFonts w:cs="Times New Roman"/>
        </w:rPr>
        <w:t>Kyeremeh</w:t>
      </w:r>
      <w:proofErr w:type="spellEnd"/>
      <w:r w:rsidRPr="00933416">
        <w:rPr>
          <w:rFonts w:cs="Times New Roman"/>
        </w:rPr>
        <w:t xml:space="preserve">, E., Mensah, A. O., Asante, D., &amp; </w:t>
      </w:r>
      <w:proofErr w:type="spellStart"/>
      <w:r w:rsidRPr="00933416">
        <w:rPr>
          <w:rFonts w:cs="Times New Roman"/>
        </w:rPr>
        <w:t>Brako</w:t>
      </w:r>
      <w:proofErr w:type="spellEnd"/>
      <w:r w:rsidRPr="00933416">
        <w:rPr>
          <w:rFonts w:cs="Times New Roman"/>
        </w:rPr>
        <w:t xml:space="preserve">, S. (2025). Barriers to the sale of vegetables by women SMEs: Perspective of grounded theory. </w:t>
      </w:r>
      <w:r w:rsidRPr="00933416">
        <w:rPr>
          <w:rFonts w:cs="Times New Roman"/>
          <w:i/>
          <w:iCs/>
        </w:rPr>
        <w:t>ISAR Journal of Arts, Humanities and Social Sciences, 3</w:t>
      </w:r>
      <w:r w:rsidRPr="00933416">
        <w:rPr>
          <w:rFonts w:cs="Times New Roman"/>
        </w:rPr>
        <w:t>(6), 123–135.</w:t>
      </w:r>
    </w:p>
    <w:p w14:paraId="525F9866" w14:textId="77777777" w:rsidR="003B6C66" w:rsidRPr="00933416" w:rsidRDefault="003B6C66" w:rsidP="003B6C66">
      <w:pPr>
        <w:pStyle w:val="ListParagraph"/>
        <w:numPr>
          <w:ilvl w:val="1"/>
          <w:numId w:val="16"/>
        </w:numPr>
        <w:spacing w:line="276" w:lineRule="auto"/>
        <w:ind w:left="426" w:hanging="426"/>
        <w:jc w:val="both"/>
        <w:rPr>
          <w:rFonts w:cs="Times New Roman"/>
        </w:rPr>
      </w:pPr>
      <w:proofErr w:type="spellStart"/>
      <w:r w:rsidRPr="00933416">
        <w:rPr>
          <w:rFonts w:cs="Times New Roman"/>
        </w:rPr>
        <w:t>Otoo</w:t>
      </w:r>
      <w:proofErr w:type="spellEnd"/>
      <w:r w:rsidRPr="00933416">
        <w:rPr>
          <w:rFonts w:cs="Times New Roman"/>
        </w:rPr>
        <w:t xml:space="preserve">, M., Fulton, J., Ibro, G., &amp; Lowenberg-DeBoer, J. (2011). Women entrepreneurship in West Africa: The cowpea street food sector in Niger and Ghana. </w:t>
      </w:r>
      <w:r w:rsidRPr="00933416">
        <w:rPr>
          <w:rFonts w:cs="Times New Roman"/>
          <w:i/>
          <w:iCs/>
        </w:rPr>
        <w:t>Journal of Developmental Entrepreneurship, 16</w:t>
      </w:r>
      <w:r w:rsidRPr="00933416">
        <w:rPr>
          <w:rFonts w:cs="Times New Roman"/>
        </w:rPr>
        <w:t xml:space="preserve">(1), 37–63. </w:t>
      </w:r>
      <w:hyperlink r:id="rId26" w:tgtFrame="_blank" w:history="1">
        <w:r w:rsidRPr="00933416">
          <w:rPr>
            <w:rStyle w:val="Hyperlink"/>
            <w:rFonts w:cs="Times New Roman"/>
            <w:color w:val="auto"/>
          </w:rPr>
          <w:t>https://doi.org/10.1142/S1084946711001732</w:t>
        </w:r>
      </w:hyperlink>
    </w:p>
    <w:p w14:paraId="38665606" w14:textId="77777777" w:rsidR="003B6C66" w:rsidRPr="00933416" w:rsidRDefault="003B6C66" w:rsidP="003B6C66">
      <w:pPr>
        <w:pStyle w:val="ListParagraph"/>
        <w:numPr>
          <w:ilvl w:val="1"/>
          <w:numId w:val="16"/>
        </w:numPr>
        <w:spacing w:line="276" w:lineRule="auto"/>
        <w:ind w:left="426" w:hanging="426"/>
        <w:jc w:val="both"/>
        <w:rPr>
          <w:rFonts w:eastAsia="Times New Roman" w:cs="Times New Roman"/>
          <w:kern w:val="0"/>
          <w14:ligatures w14:val="none"/>
        </w:rPr>
      </w:pPr>
      <w:proofErr w:type="spellStart"/>
      <w:r w:rsidRPr="00933416">
        <w:t>Otoo</w:t>
      </w:r>
      <w:proofErr w:type="spellEnd"/>
      <w:r w:rsidRPr="00933416">
        <w:t xml:space="preserve">, M., Fulton, J., Ibro, G., &amp; Lowenberg-DeBoer, J. (2011). </w:t>
      </w:r>
      <w:r w:rsidRPr="00933416">
        <w:rPr>
          <w:rStyle w:val="Emphasis"/>
          <w:color w:val="auto"/>
        </w:rPr>
        <w:t>Women entrepreneurship in West Africa: The cowpea street food sector in Niger and Ghana.</w:t>
      </w:r>
      <w:r w:rsidRPr="00933416">
        <w:t xml:space="preserve"> </w:t>
      </w:r>
      <w:r w:rsidRPr="00933416">
        <w:rPr>
          <w:rStyle w:val="Emphasis"/>
          <w:color w:val="auto"/>
        </w:rPr>
        <w:t>Journal of Developmental Entrepreneurship, 16</w:t>
      </w:r>
      <w:r w:rsidRPr="00933416">
        <w:t>(1), 37–63.</w:t>
      </w:r>
    </w:p>
    <w:p w14:paraId="48FEFD45" w14:textId="77777777" w:rsidR="003B6C66" w:rsidRPr="00933416" w:rsidRDefault="003B6C66" w:rsidP="003B6C66">
      <w:pPr>
        <w:pStyle w:val="ListParagraph"/>
        <w:numPr>
          <w:ilvl w:val="1"/>
          <w:numId w:val="16"/>
        </w:numPr>
        <w:spacing w:line="276" w:lineRule="auto"/>
        <w:ind w:left="426" w:hanging="426"/>
        <w:jc w:val="both"/>
        <w:rPr>
          <w:rFonts w:cs="Times New Roman"/>
        </w:rPr>
      </w:pPr>
      <w:r w:rsidRPr="00933416">
        <w:rPr>
          <w:rFonts w:cs="Times New Roman"/>
        </w:rPr>
        <w:t xml:space="preserve">Peprah, V., Buor, D., &amp; </w:t>
      </w:r>
      <w:proofErr w:type="spellStart"/>
      <w:r w:rsidRPr="00933416">
        <w:rPr>
          <w:rFonts w:cs="Times New Roman"/>
        </w:rPr>
        <w:t>Forkuor</w:t>
      </w:r>
      <w:proofErr w:type="spellEnd"/>
      <w:r w:rsidRPr="00933416">
        <w:rPr>
          <w:rFonts w:cs="Times New Roman"/>
        </w:rPr>
        <w:t xml:space="preserve">, D. (2019). Characteristics of informal sector activities and challenges faced by women in Kumasi Metropolis, Ghana. </w:t>
      </w:r>
      <w:r w:rsidRPr="00933416">
        <w:rPr>
          <w:rFonts w:cs="Times New Roman"/>
          <w:i/>
          <w:iCs/>
        </w:rPr>
        <w:t>Cogent Social Sciences, 5</w:t>
      </w:r>
      <w:r w:rsidRPr="00933416">
        <w:rPr>
          <w:rFonts w:cs="Times New Roman"/>
        </w:rPr>
        <w:t xml:space="preserve">(1), 1656383. </w:t>
      </w:r>
      <w:hyperlink r:id="rId27" w:tgtFrame="_blank" w:history="1">
        <w:r w:rsidRPr="00933416">
          <w:rPr>
            <w:rStyle w:val="Hyperlink"/>
            <w:rFonts w:cs="Times New Roman"/>
            <w:color w:val="auto"/>
          </w:rPr>
          <w:t>https://doi.org/10.1080/23311886.2019.1656383</w:t>
        </w:r>
      </w:hyperlink>
    </w:p>
    <w:p w14:paraId="794718C7" w14:textId="77777777" w:rsidR="003B6C66" w:rsidRPr="00933416" w:rsidRDefault="003B6C66" w:rsidP="003B6C66">
      <w:pPr>
        <w:pStyle w:val="ListParagraph"/>
        <w:numPr>
          <w:ilvl w:val="1"/>
          <w:numId w:val="16"/>
        </w:numPr>
        <w:spacing w:line="276" w:lineRule="auto"/>
        <w:ind w:left="426" w:hanging="426"/>
        <w:jc w:val="both"/>
        <w:rPr>
          <w:rFonts w:cs="Times New Roman"/>
        </w:rPr>
      </w:pPr>
      <w:r w:rsidRPr="00933416">
        <w:rPr>
          <w:rFonts w:cs="Times New Roman"/>
        </w:rPr>
        <w:t xml:space="preserve">Pyburn, R., </w:t>
      </w:r>
      <w:proofErr w:type="spellStart"/>
      <w:r w:rsidRPr="00933416">
        <w:rPr>
          <w:rFonts w:cs="Times New Roman"/>
        </w:rPr>
        <w:t>Slavchevska</w:t>
      </w:r>
      <w:proofErr w:type="spellEnd"/>
      <w:r w:rsidRPr="00933416">
        <w:rPr>
          <w:rFonts w:cs="Times New Roman"/>
        </w:rPr>
        <w:t xml:space="preserve">, V., &amp; </w:t>
      </w:r>
      <w:proofErr w:type="spellStart"/>
      <w:r w:rsidRPr="00933416">
        <w:rPr>
          <w:rFonts w:cs="Times New Roman"/>
        </w:rPr>
        <w:t>Kruijssen</w:t>
      </w:r>
      <w:proofErr w:type="spellEnd"/>
      <w:r w:rsidRPr="00933416">
        <w:rPr>
          <w:rFonts w:cs="Times New Roman"/>
        </w:rPr>
        <w:t xml:space="preserve">, F. (2023). Gender dynamics in agrifood value chains: Advances in research and practice over the last decade. </w:t>
      </w:r>
      <w:r w:rsidRPr="00933416">
        <w:rPr>
          <w:rFonts w:cs="Times New Roman"/>
          <w:i/>
          <w:iCs/>
        </w:rPr>
        <w:t>Global Food Security, 39</w:t>
      </w:r>
      <w:r w:rsidRPr="00933416">
        <w:rPr>
          <w:rFonts w:cs="Times New Roman"/>
        </w:rPr>
        <w:t xml:space="preserve">, 100721. </w:t>
      </w:r>
      <w:hyperlink r:id="rId28" w:tgtFrame="_blank" w:history="1">
        <w:r w:rsidRPr="00933416">
          <w:rPr>
            <w:rStyle w:val="Hyperlink"/>
            <w:rFonts w:cs="Times New Roman"/>
            <w:color w:val="auto"/>
          </w:rPr>
          <w:t>https://doi.org/10.1016/j.gfs.2023.100721</w:t>
        </w:r>
      </w:hyperlink>
    </w:p>
    <w:p w14:paraId="72BFF7BE" w14:textId="1C188C82" w:rsidR="003B6C66" w:rsidRPr="005B487C" w:rsidRDefault="003B6C66" w:rsidP="005B487C">
      <w:pPr>
        <w:pStyle w:val="ListParagraph"/>
        <w:numPr>
          <w:ilvl w:val="1"/>
          <w:numId w:val="16"/>
        </w:numPr>
        <w:spacing w:line="276" w:lineRule="auto"/>
        <w:ind w:left="426" w:hanging="426"/>
        <w:jc w:val="both"/>
        <w:rPr>
          <w:rFonts w:cs="Times New Roman"/>
        </w:rPr>
      </w:pPr>
      <w:r w:rsidRPr="00933416">
        <w:rPr>
          <w:rFonts w:cs="Times New Roman"/>
        </w:rPr>
        <w:t xml:space="preserve">Quisumbing, A., et al. (2023). Gender and food systems - Avenues for transformation? In J. </w:t>
      </w:r>
      <w:proofErr w:type="spellStart"/>
      <w:r w:rsidRPr="00933416">
        <w:rPr>
          <w:rFonts w:cs="Times New Roman"/>
        </w:rPr>
        <w:t>Ulimwengu</w:t>
      </w:r>
      <w:proofErr w:type="spellEnd"/>
      <w:r w:rsidRPr="00933416">
        <w:rPr>
          <w:rFonts w:cs="Times New Roman"/>
        </w:rPr>
        <w:t xml:space="preserve"> et al. (Eds.), </w:t>
      </w:r>
      <w:r w:rsidRPr="00933416">
        <w:rPr>
          <w:rFonts w:cs="Times New Roman"/>
          <w:i/>
          <w:iCs/>
        </w:rPr>
        <w:t>African Food Systems Transformation and the Post-Malabo Agenda</w:t>
      </w:r>
      <w:r w:rsidRPr="00933416">
        <w:rPr>
          <w:rFonts w:cs="Times New Roman"/>
        </w:rPr>
        <w:t xml:space="preserve">. </w:t>
      </w:r>
      <w:hyperlink r:id="rId29" w:tgtFrame="_blank" w:history="1">
        <w:r w:rsidRPr="00933416">
          <w:rPr>
            <w:rStyle w:val="Hyperlink"/>
            <w:rFonts w:cs="Times New Roman"/>
            <w:color w:val="auto"/>
          </w:rPr>
          <w:t>https://www.resakss.org/sites/default/files/2023_ator_individual_chapters/Chapter%209_ReSAKSS_AW_ATOR_2023.pdf</w:t>
        </w:r>
      </w:hyperlink>
    </w:p>
    <w:p w14:paraId="499029F6" w14:textId="77777777" w:rsidR="003B6C66" w:rsidRPr="00933416" w:rsidRDefault="003B6C66" w:rsidP="003B6C66">
      <w:pPr>
        <w:pStyle w:val="ListParagraph"/>
        <w:numPr>
          <w:ilvl w:val="1"/>
          <w:numId w:val="16"/>
        </w:numPr>
        <w:spacing w:line="276" w:lineRule="auto"/>
        <w:ind w:left="426" w:hanging="426"/>
        <w:jc w:val="both"/>
        <w:rPr>
          <w:rFonts w:cs="Times New Roman"/>
        </w:rPr>
      </w:pPr>
      <w:r w:rsidRPr="00933416">
        <w:rPr>
          <w:rFonts w:cs="Times New Roman"/>
        </w:rPr>
        <w:lastRenderedPageBreak/>
        <w:t xml:space="preserve">Resnick, D. (2022). Governing informal markets in African cities: The urban political economy of food systems. </w:t>
      </w:r>
      <w:r w:rsidRPr="00933416">
        <w:rPr>
          <w:rFonts w:cs="Times New Roman"/>
          <w:i/>
          <w:iCs/>
        </w:rPr>
        <w:t>World Development, 153</w:t>
      </w:r>
      <w:r w:rsidRPr="00933416">
        <w:rPr>
          <w:rFonts w:cs="Times New Roman"/>
        </w:rPr>
        <w:t>, 105834.</w:t>
      </w:r>
    </w:p>
    <w:p w14:paraId="3AA6989C" w14:textId="77777777" w:rsidR="003B6C66" w:rsidRPr="00933416" w:rsidRDefault="003B6C66" w:rsidP="003B6C66">
      <w:pPr>
        <w:pStyle w:val="ListParagraph"/>
        <w:numPr>
          <w:ilvl w:val="1"/>
          <w:numId w:val="16"/>
        </w:numPr>
        <w:spacing w:line="276" w:lineRule="auto"/>
        <w:ind w:left="426" w:hanging="426"/>
        <w:jc w:val="both"/>
        <w:rPr>
          <w:rFonts w:cs="Times New Roman"/>
        </w:rPr>
      </w:pPr>
      <w:proofErr w:type="spellStart"/>
      <w:r w:rsidRPr="00933416">
        <w:rPr>
          <w:rFonts w:cs="Times New Roman"/>
        </w:rPr>
        <w:t>Resurrección</w:t>
      </w:r>
      <w:proofErr w:type="spellEnd"/>
      <w:r w:rsidRPr="00933416">
        <w:rPr>
          <w:rFonts w:cs="Times New Roman"/>
        </w:rPr>
        <w:t xml:space="preserve">, B. P., &amp; Bee, B. A. (2021). </w:t>
      </w:r>
      <w:r w:rsidRPr="00933416">
        <w:rPr>
          <w:rFonts w:cs="Times New Roman"/>
          <w:i/>
          <w:iCs/>
        </w:rPr>
        <w:t>Gender, development and environmental governance: Theorizing connections</w:t>
      </w:r>
      <w:r w:rsidRPr="00933416">
        <w:rPr>
          <w:rFonts w:cs="Times New Roman"/>
        </w:rPr>
        <w:t>. Routledge.</w:t>
      </w:r>
    </w:p>
    <w:p w14:paraId="24397523" w14:textId="77777777" w:rsidR="003B6C66" w:rsidRPr="00933416" w:rsidRDefault="003B6C66" w:rsidP="003B6C66">
      <w:pPr>
        <w:pStyle w:val="ListParagraph"/>
        <w:numPr>
          <w:ilvl w:val="1"/>
          <w:numId w:val="16"/>
        </w:numPr>
        <w:spacing w:line="276" w:lineRule="auto"/>
        <w:ind w:left="426" w:hanging="426"/>
        <w:jc w:val="both"/>
        <w:rPr>
          <w:rFonts w:cs="Times New Roman"/>
        </w:rPr>
      </w:pPr>
      <w:r w:rsidRPr="00933416">
        <w:rPr>
          <w:rFonts w:cs="Times New Roman"/>
        </w:rPr>
        <w:t xml:space="preserve">Seedat, S. (2021). Well-being costs of unpaid care. </w:t>
      </w:r>
      <w:r w:rsidRPr="00933416">
        <w:rPr>
          <w:rFonts w:cs="Times New Roman"/>
          <w:i/>
          <w:iCs/>
        </w:rPr>
        <w:t>BMJ</w:t>
      </w:r>
      <w:r w:rsidRPr="00933416">
        <w:rPr>
          <w:rFonts w:cs="Times New Roman"/>
        </w:rPr>
        <w:t>.</w:t>
      </w:r>
    </w:p>
    <w:p w14:paraId="4B4F78BC" w14:textId="77777777" w:rsidR="003B6C66" w:rsidRPr="00933416" w:rsidRDefault="003B6C66" w:rsidP="003B6C66">
      <w:pPr>
        <w:pStyle w:val="ListParagraph"/>
        <w:numPr>
          <w:ilvl w:val="1"/>
          <w:numId w:val="16"/>
        </w:numPr>
        <w:spacing w:line="276" w:lineRule="auto"/>
        <w:ind w:left="426" w:hanging="426"/>
        <w:jc w:val="both"/>
        <w:rPr>
          <w:rFonts w:cs="Times New Roman"/>
        </w:rPr>
      </w:pPr>
      <w:proofErr w:type="spellStart"/>
      <w:r w:rsidRPr="00933416">
        <w:rPr>
          <w:rFonts w:cs="Times New Roman"/>
        </w:rPr>
        <w:t>Simachew</w:t>
      </w:r>
      <w:proofErr w:type="spellEnd"/>
      <w:r w:rsidRPr="00933416">
        <w:rPr>
          <w:rFonts w:cs="Times New Roman"/>
        </w:rPr>
        <w:t xml:space="preserve">, W., &amp; Tilahun, G. (2024). Exploring socio-economic realities: Women in street coffee vending in Bahir Dar City. </w:t>
      </w:r>
      <w:r w:rsidRPr="00933416">
        <w:rPr>
          <w:rFonts w:cs="Times New Roman"/>
          <w:i/>
          <w:iCs/>
        </w:rPr>
        <w:t>International Journal of Leadership and Public Sector Reform, 2</w:t>
      </w:r>
      <w:r w:rsidRPr="00933416">
        <w:rPr>
          <w:rFonts w:cs="Times New Roman"/>
        </w:rPr>
        <w:t>(1), 1–11.</w:t>
      </w:r>
    </w:p>
    <w:p w14:paraId="42D7A6E7" w14:textId="77777777" w:rsidR="003B6C66" w:rsidRPr="00933416" w:rsidRDefault="003B6C66" w:rsidP="003B6C66">
      <w:pPr>
        <w:pStyle w:val="ListParagraph"/>
        <w:numPr>
          <w:ilvl w:val="1"/>
          <w:numId w:val="16"/>
        </w:numPr>
        <w:spacing w:line="276" w:lineRule="auto"/>
        <w:ind w:left="426" w:hanging="426"/>
        <w:jc w:val="both"/>
        <w:rPr>
          <w:rFonts w:cs="Times New Roman"/>
        </w:rPr>
      </w:pPr>
      <w:r w:rsidRPr="00933416">
        <w:rPr>
          <w:rFonts w:cs="Times New Roman"/>
        </w:rPr>
        <w:t xml:space="preserve">Simba, A., et al. (2024). Financing women entrepreneurship in the developing world. </w:t>
      </w:r>
      <w:r w:rsidRPr="00933416">
        <w:rPr>
          <w:rFonts w:cs="Times New Roman"/>
          <w:i/>
          <w:iCs/>
        </w:rPr>
        <w:t>Journal of Business Research</w:t>
      </w:r>
      <w:r w:rsidRPr="00933416">
        <w:rPr>
          <w:rFonts w:cs="Times New Roman"/>
        </w:rPr>
        <w:t>.</w:t>
      </w:r>
    </w:p>
    <w:p w14:paraId="662AC741" w14:textId="77777777" w:rsidR="003B6C66" w:rsidRPr="00933416" w:rsidRDefault="003B6C66" w:rsidP="003B6C66">
      <w:pPr>
        <w:pStyle w:val="ListParagraph"/>
        <w:numPr>
          <w:ilvl w:val="1"/>
          <w:numId w:val="16"/>
        </w:numPr>
        <w:spacing w:line="276" w:lineRule="auto"/>
        <w:ind w:left="426" w:hanging="426"/>
        <w:jc w:val="both"/>
        <w:rPr>
          <w:rFonts w:cs="Times New Roman"/>
        </w:rPr>
      </w:pPr>
      <w:r w:rsidRPr="00933416">
        <w:rPr>
          <w:rFonts w:cs="Times New Roman"/>
        </w:rPr>
        <w:t xml:space="preserve">Sinha, S., et al. (2024). Gendered livelihoods and informal economies in urban Africa. </w:t>
      </w:r>
      <w:r w:rsidRPr="00933416">
        <w:rPr>
          <w:rFonts w:cs="Times New Roman"/>
          <w:i/>
          <w:iCs/>
        </w:rPr>
        <w:t>Cities</w:t>
      </w:r>
      <w:r w:rsidRPr="00933416">
        <w:rPr>
          <w:rFonts w:cs="Times New Roman"/>
        </w:rPr>
        <w:t>.</w:t>
      </w:r>
    </w:p>
    <w:p w14:paraId="122AF291" w14:textId="77777777" w:rsidR="003B6C66" w:rsidRPr="00933416" w:rsidRDefault="003B6C66" w:rsidP="003B6C66">
      <w:pPr>
        <w:pStyle w:val="ListParagraph"/>
        <w:numPr>
          <w:ilvl w:val="1"/>
          <w:numId w:val="16"/>
        </w:numPr>
        <w:spacing w:line="276" w:lineRule="auto"/>
        <w:ind w:left="426" w:hanging="426"/>
        <w:jc w:val="both"/>
        <w:rPr>
          <w:rFonts w:cs="Times New Roman"/>
        </w:rPr>
      </w:pPr>
      <w:r w:rsidRPr="00933416">
        <w:rPr>
          <w:rFonts w:cs="Times New Roman"/>
        </w:rPr>
        <w:t xml:space="preserve">Skinner, C. (2016). Informal food retail in Africa: A review of evidence. </w:t>
      </w:r>
      <w:r w:rsidRPr="00933416">
        <w:rPr>
          <w:rFonts w:cs="Times New Roman"/>
          <w:i/>
          <w:iCs/>
        </w:rPr>
        <w:t>African Centre for Cities</w:t>
      </w:r>
      <w:r w:rsidRPr="00933416">
        <w:rPr>
          <w:rFonts w:cs="Times New Roman"/>
        </w:rPr>
        <w:t>.</w:t>
      </w:r>
    </w:p>
    <w:p w14:paraId="14A85203" w14:textId="77777777" w:rsidR="003B6C66" w:rsidRPr="00933416" w:rsidRDefault="003B6C66" w:rsidP="003B6C66">
      <w:pPr>
        <w:pStyle w:val="ListParagraph"/>
        <w:numPr>
          <w:ilvl w:val="1"/>
          <w:numId w:val="16"/>
        </w:numPr>
        <w:spacing w:line="276" w:lineRule="auto"/>
        <w:ind w:left="426" w:hanging="426"/>
        <w:jc w:val="both"/>
        <w:rPr>
          <w:rFonts w:cs="Times New Roman"/>
        </w:rPr>
      </w:pPr>
      <w:r w:rsidRPr="00933416">
        <w:rPr>
          <w:rFonts w:cs="Times New Roman"/>
        </w:rPr>
        <w:t>Skinner, C., &amp; Haysom, G. (2017). The informal sector’s role in food security: A missing link in policy debates? PLAAS, University of the Western Cape.</w:t>
      </w:r>
    </w:p>
    <w:p w14:paraId="185EEC73" w14:textId="77777777" w:rsidR="003B6C66" w:rsidRPr="00933416" w:rsidRDefault="003B6C66" w:rsidP="003B6C66">
      <w:pPr>
        <w:pStyle w:val="ListParagraph"/>
        <w:numPr>
          <w:ilvl w:val="1"/>
          <w:numId w:val="16"/>
        </w:numPr>
        <w:spacing w:line="276" w:lineRule="auto"/>
        <w:ind w:left="426" w:hanging="426"/>
        <w:jc w:val="both"/>
        <w:rPr>
          <w:rFonts w:cs="Times New Roman"/>
        </w:rPr>
      </w:pPr>
      <w:proofErr w:type="spellStart"/>
      <w:r w:rsidRPr="00933416">
        <w:rPr>
          <w:rFonts w:cs="Times New Roman"/>
        </w:rPr>
        <w:t>Tacoli</w:t>
      </w:r>
      <w:proofErr w:type="spellEnd"/>
      <w:r w:rsidRPr="00933416">
        <w:rPr>
          <w:rFonts w:cs="Times New Roman"/>
        </w:rPr>
        <w:t xml:space="preserve">, C. (2017). Food, urbanization and the resilience of food systems in Africa and Asia. </w:t>
      </w:r>
      <w:r w:rsidRPr="00933416">
        <w:rPr>
          <w:rFonts w:cs="Times New Roman"/>
          <w:i/>
          <w:iCs/>
        </w:rPr>
        <w:t>Environment and Urbanization, 29</w:t>
      </w:r>
      <w:r w:rsidRPr="00933416">
        <w:rPr>
          <w:rFonts w:cs="Times New Roman"/>
        </w:rPr>
        <w:t>(1), 1–12.</w:t>
      </w:r>
    </w:p>
    <w:p w14:paraId="0CA1A377" w14:textId="77777777" w:rsidR="003B6C66" w:rsidRPr="005B487C" w:rsidRDefault="003B6C66" w:rsidP="003B6C66">
      <w:pPr>
        <w:pStyle w:val="ListParagraph"/>
        <w:numPr>
          <w:ilvl w:val="1"/>
          <w:numId w:val="16"/>
        </w:numPr>
        <w:spacing w:line="276" w:lineRule="auto"/>
        <w:ind w:left="426" w:hanging="426"/>
        <w:jc w:val="both"/>
      </w:pPr>
      <w:proofErr w:type="spellStart"/>
      <w:r w:rsidRPr="00933416">
        <w:rPr>
          <w:rFonts w:cs="Times New Roman"/>
        </w:rPr>
        <w:t>Takaza</w:t>
      </w:r>
      <w:proofErr w:type="spellEnd"/>
      <w:r w:rsidRPr="00933416">
        <w:rPr>
          <w:rFonts w:cs="Times New Roman"/>
        </w:rPr>
        <w:t xml:space="preserve">, S. C., &amp; </w:t>
      </w:r>
      <w:proofErr w:type="spellStart"/>
      <w:r w:rsidRPr="00933416">
        <w:rPr>
          <w:rFonts w:cs="Times New Roman"/>
        </w:rPr>
        <w:t>Chitereka</w:t>
      </w:r>
      <w:proofErr w:type="spellEnd"/>
      <w:r w:rsidRPr="00933416">
        <w:rPr>
          <w:rFonts w:cs="Times New Roman"/>
        </w:rPr>
        <w:t xml:space="preserve">, C. (2022). An investigation into the livelihood’s strategies of informal women traders in Zimbabwe. </w:t>
      </w:r>
      <w:r w:rsidRPr="00933416">
        <w:rPr>
          <w:rFonts w:cs="Times New Roman"/>
          <w:i/>
          <w:iCs/>
        </w:rPr>
        <w:t>Journal of Innovation and Entrepreneurship, 11</w:t>
      </w:r>
      <w:r w:rsidRPr="00933416">
        <w:rPr>
          <w:rFonts w:cs="Times New Roman"/>
        </w:rPr>
        <w:t>(1), 37.</w:t>
      </w:r>
    </w:p>
    <w:p w14:paraId="6361DE1E" w14:textId="0FA57755" w:rsidR="005B487C" w:rsidRPr="00933416" w:rsidRDefault="005B487C" w:rsidP="003B6C66">
      <w:pPr>
        <w:pStyle w:val="ListParagraph"/>
        <w:numPr>
          <w:ilvl w:val="1"/>
          <w:numId w:val="16"/>
        </w:numPr>
        <w:spacing w:line="276" w:lineRule="auto"/>
        <w:ind w:left="426" w:hanging="426"/>
        <w:jc w:val="both"/>
      </w:pPr>
      <w:r w:rsidRPr="005B487C">
        <w:t xml:space="preserve">Tawana, X., &amp; </w:t>
      </w:r>
      <w:proofErr w:type="spellStart"/>
      <w:r w:rsidRPr="005B487C">
        <w:t>Romm</w:t>
      </w:r>
      <w:proofErr w:type="spellEnd"/>
      <w:r w:rsidRPr="005B487C">
        <w:t xml:space="preserve">, N. (2023). Reflections on the value of mixed focus groups with adult learner research participants: Exploring gender disparities and gendered relationships. </w:t>
      </w:r>
      <w:r w:rsidRPr="005B487C">
        <w:rPr>
          <w:i/>
          <w:iCs/>
        </w:rPr>
        <w:t>Participatory Educational Research, 10</w:t>
      </w:r>
      <w:r w:rsidRPr="005B487C">
        <w:t>(1), 290–309. https://doi.org/10.17275/per.23.16.10.1</w:t>
      </w:r>
    </w:p>
    <w:p w14:paraId="3008BBBC" w14:textId="77777777" w:rsidR="003B6C66" w:rsidRPr="00933416" w:rsidRDefault="003B6C66" w:rsidP="003B6C66">
      <w:pPr>
        <w:pStyle w:val="ListParagraph"/>
        <w:numPr>
          <w:ilvl w:val="1"/>
          <w:numId w:val="16"/>
        </w:numPr>
        <w:spacing w:line="276" w:lineRule="auto"/>
        <w:ind w:left="426" w:hanging="426"/>
        <w:jc w:val="both"/>
      </w:pPr>
      <w:proofErr w:type="spellStart"/>
      <w:r w:rsidRPr="00933416">
        <w:rPr>
          <w:rStyle w:val="Strong"/>
          <w:b w:val="0"/>
          <w:bCs w:val="0"/>
        </w:rPr>
        <w:t>Xheneti</w:t>
      </w:r>
      <w:proofErr w:type="spellEnd"/>
      <w:r w:rsidRPr="00933416">
        <w:rPr>
          <w:rStyle w:val="Strong"/>
          <w:b w:val="0"/>
          <w:bCs w:val="0"/>
        </w:rPr>
        <w:t>, M., Karki, S. T., &amp; Madden, A. (2019).</w:t>
      </w:r>
      <w:r w:rsidRPr="00933416">
        <w:t xml:space="preserve"> </w:t>
      </w:r>
      <w:r w:rsidRPr="00933416">
        <w:rPr>
          <w:rStyle w:val="Emphasis"/>
          <w:color w:val="auto"/>
        </w:rPr>
        <w:t xml:space="preserve">Negotiating business and family demands within a patriarchal society – the case of women entrepreneurs in the </w:t>
      </w:r>
      <w:proofErr w:type="spellStart"/>
      <w:r w:rsidRPr="00933416">
        <w:rPr>
          <w:rStyle w:val="Emphasis"/>
          <w:color w:val="auto"/>
        </w:rPr>
        <w:t>the</w:t>
      </w:r>
      <w:proofErr w:type="spellEnd"/>
      <w:r w:rsidRPr="00933416">
        <w:rPr>
          <w:rStyle w:val="Emphasis"/>
          <w:color w:val="auto"/>
        </w:rPr>
        <w:t xml:space="preserve"> Nepalese context.</w:t>
      </w:r>
      <w:r w:rsidRPr="00933416">
        <w:t xml:space="preserve"> </w:t>
      </w:r>
      <w:r w:rsidRPr="00933416">
        <w:rPr>
          <w:rStyle w:val="Emphasis"/>
          <w:color w:val="auto"/>
        </w:rPr>
        <w:t>Entrepreneurship and Regional Development, 31</w:t>
      </w:r>
      <w:r w:rsidRPr="00933416">
        <w:t xml:space="preserve">(3-4), 259-278. </w:t>
      </w:r>
      <w:hyperlink r:id="rId30" w:tgtFrame="_new" w:history="1">
        <w:r w:rsidRPr="00933416">
          <w:rPr>
            <w:rStyle w:val="Hyperlink"/>
            <w:color w:val="auto"/>
          </w:rPr>
          <w:t>https://doi.org/10.1080/08985626.2018.1551792</w:t>
        </w:r>
      </w:hyperlink>
    </w:p>
    <w:p w14:paraId="1F5571FE" w14:textId="77777777" w:rsidR="00364EA2" w:rsidRDefault="00364EA2">
      <w:pPr>
        <w:pStyle w:val="ListParagraph"/>
        <w:spacing w:line="276" w:lineRule="auto"/>
        <w:ind w:left="0"/>
        <w:contextualSpacing w:val="0"/>
        <w:jc w:val="both"/>
        <w:rPr>
          <w:lang w:val="de-DE"/>
        </w:rPr>
      </w:pPr>
    </w:p>
    <w:sectPr w:rsidR="00364EA2">
      <w:footerReference w:type="default" r:id="rId3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71A22" w14:textId="77777777" w:rsidR="00BF4089" w:rsidRPr="00E673FE" w:rsidRDefault="00BF4089">
      <w:pPr>
        <w:spacing w:line="240" w:lineRule="auto"/>
      </w:pPr>
      <w:r w:rsidRPr="00E673FE">
        <w:separator/>
      </w:r>
    </w:p>
  </w:endnote>
  <w:endnote w:type="continuationSeparator" w:id="0">
    <w:p w14:paraId="6ECEA70B" w14:textId="77777777" w:rsidR="00BF4089" w:rsidRPr="00E673FE" w:rsidRDefault="00BF4089">
      <w:pPr>
        <w:spacing w:line="240" w:lineRule="auto"/>
      </w:pPr>
      <w:r w:rsidRPr="00E673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haris SIL">
    <w:altName w:val="Segoe Print"/>
    <w:charset w:val="00"/>
    <w:family w:val="swiss"/>
    <w:pitch w:val="default"/>
    <w:sig w:usb0="00000000" w:usb1="00000000" w:usb2="00000000" w:usb3="00000000" w:csb0="00000001" w:csb1="00000000"/>
  </w:font>
  <w:font w:name="Calibri">
    <w:altName w:val="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07370837"/>
    </w:sdtPr>
    <w:sdtContent>
      <w:p w14:paraId="20D12C81" w14:textId="77777777" w:rsidR="00364EA2" w:rsidRPr="00E673FE" w:rsidRDefault="00000000">
        <w:pPr>
          <w:pStyle w:val="Footer"/>
          <w:jc w:val="center"/>
        </w:pPr>
        <w:r w:rsidRPr="00E673FE">
          <w:fldChar w:fldCharType="begin"/>
        </w:r>
        <w:r w:rsidRPr="00E673FE">
          <w:instrText xml:space="preserve"> PAGE   \* MERGEFORMAT </w:instrText>
        </w:r>
        <w:r w:rsidRPr="00E673FE">
          <w:fldChar w:fldCharType="separate"/>
        </w:r>
        <w:r w:rsidRPr="00E673FE">
          <w:t>21</w:t>
        </w:r>
        <w:r w:rsidRPr="00E673FE">
          <w:fldChar w:fldCharType="end"/>
        </w:r>
      </w:p>
    </w:sdtContent>
  </w:sdt>
  <w:p w14:paraId="13A51533" w14:textId="77777777" w:rsidR="00364EA2" w:rsidRPr="00E673FE" w:rsidRDefault="00364E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9E2AD" w14:textId="77777777" w:rsidR="00BF4089" w:rsidRPr="00E673FE" w:rsidRDefault="00BF4089">
      <w:pPr>
        <w:spacing w:before="0" w:after="0"/>
      </w:pPr>
      <w:r w:rsidRPr="00E673FE">
        <w:separator/>
      </w:r>
    </w:p>
  </w:footnote>
  <w:footnote w:type="continuationSeparator" w:id="0">
    <w:p w14:paraId="5E526925" w14:textId="77777777" w:rsidR="00BF4089" w:rsidRPr="00E673FE" w:rsidRDefault="00BF4089">
      <w:pPr>
        <w:spacing w:before="0" w:after="0"/>
      </w:pPr>
      <w:r w:rsidRPr="00E673F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1096"/>
    <w:multiLevelType w:val="hybridMultilevel"/>
    <w:tmpl w:val="182475A8"/>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51C0ACA"/>
    <w:multiLevelType w:val="hybridMultilevel"/>
    <w:tmpl w:val="4BF8CA1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16550218"/>
    <w:multiLevelType w:val="hybridMultilevel"/>
    <w:tmpl w:val="FA809B58"/>
    <w:lvl w:ilvl="0" w:tplc="20000019">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328F5C73"/>
    <w:multiLevelType w:val="multilevel"/>
    <w:tmpl w:val="328F5C7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B1A21FA"/>
    <w:multiLevelType w:val="multilevel"/>
    <w:tmpl w:val="33883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17005B"/>
    <w:multiLevelType w:val="hybridMultilevel"/>
    <w:tmpl w:val="06AAF09E"/>
    <w:lvl w:ilvl="0" w:tplc="4FFE5A34">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1423FBA"/>
    <w:multiLevelType w:val="hybridMultilevel"/>
    <w:tmpl w:val="1556EC78"/>
    <w:lvl w:ilvl="0" w:tplc="FFFFFFFF">
      <w:start w:val="1"/>
      <w:numFmt w:val="lowerLetter"/>
      <w:lvlText w:val="%1."/>
      <w:lvlJc w:val="left"/>
      <w:pPr>
        <w:ind w:left="720" w:hanging="360"/>
      </w:pPr>
    </w:lvl>
    <w:lvl w:ilvl="1" w:tplc="2000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7B05F42"/>
    <w:multiLevelType w:val="multilevel"/>
    <w:tmpl w:val="F4620ACA"/>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3B2420"/>
    <w:multiLevelType w:val="multilevel"/>
    <w:tmpl w:val="C8CA83B0"/>
    <w:lvl w:ilvl="0">
      <w:start w:val="2"/>
      <w:numFmt w:val="decimal"/>
      <w:lvlText w:val="%1."/>
      <w:lvlJc w:val="left"/>
      <w:pPr>
        <w:ind w:left="360" w:hanging="360"/>
      </w:pPr>
      <w:rPr>
        <w:rFonts w:hint="default"/>
        <w:b w:val="0"/>
        <w:i/>
      </w:rPr>
    </w:lvl>
    <w:lvl w:ilvl="1">
      <w:start w:val="1"/>
      <w:numFmt w:val="decimal"/>
      <w:lvlText w:val="%1.%2."/>
      <w:lvlJc w:val="left"/>
      <w:pPr>
        <w:ind w:left="360" w:hanging="360"/>
      </w:pPr>
      <w:rPr>
        <w:rFonts w:hint="default"/>
        <w:b/>
        <w:bCs/>
        <w:i/>
        <w:iCs w:val="0"/>
      </w:rPr>
    </w:lvl>
    <w:lvl w:ilvl="2">
      <w:start w:val="1"/>
      <w:numFmt w:val="decimal"/>
      <w:lvlText w:val="%1.%2.%3."/>
      <w:lvlJc w:val="left"/>
      <w:pPr>
        <w:ind w:left="720" w:hanging="720"/>
      </w:pPr>
      <w:rPr>
        <w:rFonts w:hint="default"/>
        <w:b/>
        <w:i/>
      </w:rPr>
    </w:lvl>
    <w:lvl w:ilvl="3">
      <w:start w:val="1"/>
      <w:numFmt w:val="decimal"/>
      <w:lvlText w:val="%1.%2.%3.%4."/>
      <w:lvlJc w:val="left"/>
      <w:pPr>
        <w:ind w:left="720" w:hanging="720"/>
      </w:pPr>
      <w:rPr>
        <w:rFonts w:hint="default"/>
        <w:b w:val="0"/>
        <w:i/>
      </w:rPr>
    </w:lvl>
    <w:lvl w:ilvl="4">
      <w:start w:val="1"/>
      <w:numFmt w:val="decimal"/>
      <w:lvlText w:val="%1.%2.%3.%4.%5."/>
      <w:lvlJc w:val="left"/>
      <w:pPr>
        <w:ind w:left="1080" w:hanging="1080"/>
      </w:pPr>
      <w:rPr>
        <w:rFonts w:hint="default"/>
        <w:b w:val="0"/>
        <w:i/>
      </w:rPr>
    </w:lvl>
    <w:lvl w:ilvl="5">
      <w:start w:val="1"/>
      <w:numFmt w:val="decimal"/>
      <w:lvlText w:val="%1.%2.%3.%4.%5.%6."/>
      <w:lvlJc w:val="left"/>
      <w:pPr>
        <w:ind w:left="1080" w:hanging="1080"/>
      </w:pPr>
      <w:rPr>
        <w:rFonts w:hint="default"/>
        <w:b w:val="0"/>
        <w:i/>
      </w:rPr>
    </w:lvl>
    <w:lvl w:ilvl="6">
      <w:start w:val="1"/>
      <w:numFmt w:val="decimal"/>
      <w:lvlText w:val="%1.%2.%3.%4.%5.%6.%7."/>
      <w:lvlJc w:val="left"/>
      <w:pPr>
        <w:ind w:left="1440" w:hanging="1440"/>
      </w:pPr>
      <w:rPr>
        <w:rFonts w:hint="default"/>
        <w:b w:val="0"/>
        <w:i/>
      </w:rPr>
    </w:lvl>
    <w:lvl w:ilvl="7">
      <w:start w:val="1"/>
      <w:numFmt w:val="decimal"/>
      <w:lvlText w:val="%1.%2.%3.%4.%5.%6.%7.%8."/>
      <w:lvlJc w:val="left"/>
      <w:pPr>
        <w:ind w:left="1440" w:hanging="1440"/>
      </w:pPr>
      <w:rPr>
        <w:rFonts w:hint="default"/>
        <w:b w:val="0"/>
        <w:i/>
      </w:rPr>
    </w:lvl>
    <w:lvl w:ilvl="8">
      <w:start w:val="1"/>
      <w:numFmt w:val="decimal"/>
      <w:lvlText w:val="%1.%2.%3.%4.%5.%6.%7.%8.%9."/>
      <w:lvlJc w:val="left"/>
      <w:pPr>
        <w:ind w:left="1800" w:hanging="1800"/>
      </w:pPr>
      <w:rPr>
        <w:rFonts w:hint="default"/>
        <w:b w:val="0"/>
        <w:i/>
      </w:rPr>
    </w:lvl>
  </w:abstractNum>
  <w:abstractNum w:abstractNumId="9" w15:restartNumberingAfterBreak="0">
    <w:nsid w:val="52012D3E"/>
    <w:multiLevelType w:val="multilevel"/>
    <w:tmpl w:val="B1429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3908F5"/>
    <w:multiLevelType w:val="multilevel"/>
    <w:tmpl w:val="9F086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897A59"/>
    <w:multiLevelType w:val="multilevel"/>
    <w:tmpl w:val="57897A5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79664F6"/>
    <w:multiLevelType w:val="hybridMultilevel"/>
    <w:tmpl w:val="1742893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69151388"/>
    <w:multiLevelType w:val="multilevel"/>
    <w:tmpl w:val="778A897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val="0"/>
        <w:i/>
        <w:iCs w:val="0"/>
      </w:rPr>
    </w:lvl>
    <w:lvl w:ilvl="2">
      <w:start w:val="1"/>
      <w:numFmt w:val="decimal"/>
      <w:lvlText w:val="%1.%2.%3"/>
      <w:lvlJc w:val="left"/>
      <w:pPr>
        <w:ind w:left="720" w:hanging="720"/>
      </w:pPr>
      <w:rPr>
        <w:rFonts w:hint="default"/>
        <w:b/>
        <w:bCs/>
        <w:i/>
        <w:i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EA15C3D"/>
    <w:multiLevelType w:val="hybridMultilevel"/>
    <w:tmpl w:val="A42EF38C"/>
    <w:lvl w:ilvl="0" w:tplc="FFFFFFFF">
      <w:start w:val="1"/>
      <w:numFmt w:val="decimal"/>
      <w:lvlText w:val="%1."/>
      <w:lvlJc w:val="left"/>
      <w:pPr>
        <w:ind w:left="720" w:hanging="360"/>
      </w:pPr>
    </w:lvl>
    <w:lvl w:ilvl="1" w:tplc="2000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33216FC"/>
    <w:multiLevelType w:val="hybridMultilevel"/>
    <w:tmpl w:val="CF72D93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78D5644E"/>
    <w:multiLevelType w:val="hybridMultilevel"/>
    <w:tmpl w:val="89E0EEFE"/>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7" w15:restartNumberingAfterBreak="0">
    <w:nsid w:val="7E781B70"/>
    <w:multiLevelType w:val="hybridMultilevel"/>
    <w:tmpl w:val="AD82067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808086583">
    <w:abstractNumId w:val="11"/>
  </w:num>
  <w:num w:numId="2" w16cid:durableId="900479866">
    <w:abstractNumId w:val="8"/>
  </w:num>
  <w:num w:numId="3" w16cid:durableId="726102758">
    <w:abstractNumId w:val="13"/>
  </w:num>
  <w:num w:numId="4" w16cid:durableId="923420936">
    <w:abstractNumId w:val="3"/>
  </w:num>
  <w:num w:numId="5" w16cid:durableId="1459880775">
    <w:abstractNumId w:val="16"/>
  </w:num>
  <w:num w:numId="6" w16cid:durableId="429005160">
    <w:abstractNumId w:val="15"/>
  </w:num>
  <w:num w:numId="7" w16cid:durableId="91358090">
    <w:abstractNumId w:val="0"/>
  </w:num>
  <w:num w:numId="8" w16cid:durableId="1606383549">
    <w:abstractNumId w:val="14"/>
  </w:num>
  <w:num w:numId="9" w16cid:durableId="595288711">
    <w:abstractNumId w:val="5"/>
  </w:num>
  <w:num w:numId="10" w16cid:durableId="1335838094">
    <w:abstractNumId w:val="9"/>
  </w:num>
  <w:num w:numId="11" w16cid:durableId="834609023">
    <w:abstractNumId w:val="7"/>
  </w:num>
  <w:num w:numId="12" w16cid:durableId="599678030">
    <w:abstractNumId w:val="4"/>
  </w:num>
  <w:num w:numId="13" w16cid:durableId="226454055">
    <w:abstractNumId w:val="1"/>
  </w:num>
  <w:num w:numId="14" w16cid:durableId="1375499228">
    <w:abstractNumId w:val="17"/>
  </w:num>
  <w:num w:numId="15" w16cid:durableId="1923906715">
    <w:abstractNumId w:val="2"/>
  </w:num>
  <w:num w:numId="16" w16cid:durableId="346324183">
    <w:abstractNumId w:val="6"/>
  </w:num>
  <w:num w:numId="17" w16cid:durableId="1987588310">
    <w:abstractNumId w:val="10"/>
  </w:num>
  <w:num w:numId="18" w16cid:durableId="16167153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34C"/>
    <w:rsid w:val="00001659"/>
    <w:rsid w:val="000035CB"/>
    <w:rsid w:val="00003F20"/>
    <w:rsid w:val="00004BC3"/>
    <w:rsid w:val="00006F98"/>
    <w:rsid w:val="00012AB2"/>
    <w:rsid w:val="00012F46"/>
    <w:rsid w:val="000139F4"/>
    <w:rsid w:val="00015A41"/>
    <w:rsid w:val="00015EB1"/>
    <w:rsid w:val="000205C0"/>
    <w:rsid w:val="0002256A"/>
    <w:rsid w:val="00022941"/>
    <w:rsid w:val="00027D33"/>
    <w:rsid w:val="000309BA"/>
    <w:rsid w:val="00031F11"/>
    <w:rsid w:val="0003307D"/>
    <w:rsid w:val="00034BE1"/>
    <w:rsid w:val="00040881"/>
    <w:rsid w:val="00041254"/>
    <w:rsid w:val="000423A7"/>
    <w:rsid w:val="000423BD"/>
    <w:rsid w:val="00047538"/>
    <w:rsid w:val="00054AF2"/>
    <w:rsid w:val="00057B0E"/>
    <w:rsid w:val="00057F5B"/>
    <w:rsid w:val="00060459"/>
    <w:rsid w:val="00061A0D"/>
    <w:rsid w:val="00064E8D"/>
    <w:rsid w:val="00065E69"/>
    <w:rsid w:val="00076509"/>
    <w:rsid w:val="00080528"/>
    <w:rsid w:val="0008165C"/>
    <w:rsid w:val="00081E8F"/>
    <w:rsid w:val="00083BD2"/>
    <w:rsid w:val="0008610D"/>
    <w:rsid w:val="00086BD4"/>
    <w:rsid w:val="00090751"/>
    <w:rsid w:val="00091262"/>
    <w:rsid w:val="0009145F"/>
    <w:rsid w:val="00091883"/>
    <w:rsid w:val="00093AC3"/>
    <w:rsid w:val="00093ED8"/>
    <w:rsid w:val="00096C4D"/>
    <w:rsid w:val="000A17E6"/>
    <w:rsid w:val="000A3251"/>
    <w:rsid w:val="000A484D"/>
    <w:rsid w:val="000A76F1"/>
    <w:rsid w:val="000B21D0"/>
    <w:rsid w:val="000B3261"/>
    <w:rsid w:val="000B3423"/>
    <w:rsid w:val="000B7487"/>
    <w:rsid w:val="000C340F"/>
    <w:rsid w:val="000C41F0"/>
    <w:rsid w:val="000C4705"/>
    <w:rsid w:val="000C6644"/>
    <w:rsid w:val="000C6976"/>
    <w:rsid w:val="000E0001"/>
    <w:rsid w:val="000E39CD"/>
    <w:rsid w:val="000F4C88"/>
    <w:rsid w:val="001000E6"/>
    <w:rsid w:val="001028C5"/>
    <w:rsid w:val="001053EB"/>
    <w:rsid w:val="00105C78"/>
    <w:rsid w:val="001132B3"/>
    <w:rsid w:val="00113CFC"/>
    <w:rsid w:val="00114EF6"/>
    <w:rsid w:val="00115CB0"/>
    <w:rsid w:val="00122C5C"/>
    <w:rsid w:val="00124117"/>
    <w:rsid w:val="00130A53"/>
    <w:rsid w:val="00136477"/>
    <w:rsid w:val="00140B3A"/>
    <w:rsid w:val="00140CBE"/>
    <w:rsid w:val="001464DE"/>
    <w:rsid w:val="001470AE"/>
    <w:rsid w:val="0014763F"/>
    <w:rsid w:val="00153155"/>
    <w:rsid w:val="00153A47"/>
    <w:rsid w:val="00153DB7"/>
    <w:rsid w:val="001562F3"/>
    <w:rsid w:val="00160D00"/>
    <w:rsid w:val="00162A37"/>
    <w:rsid w:val="001632DF"/>
    <w:rsid w:val="00163CB6"/>
    <w:rsid w:val="00163D3A"/>
    <w:rsid w:val="00164530"/>
    <w:rsid w:val="0016684D"/>
    <w:rsid w:val="0017065B"/>
    <w:rsid w:val="00175401"/>
    <w:rsid w:val="00175750"/>
    <w:rsid w:val="00185A0F"/>
    <w:rsid w:val="001939CC"/>
    <w:rsid w:val="001A1B31"/>
    <w:rsid w:val="001A2658"/>
    <w:rsid w:val="001A3F2E"/>
    <w:rsid w:val="001A57FE"/>
    <w:rsid w:val="001A6D1C"/>
    <w:rsid w:val="001B1CFF"/>
    <w:rsid w:val="001B3F3B"/>
    <w:rsid w:val="001B4ED9"/>
    <w:rsid w:val="001B6B8B"/>
    <w:rsid w:val="001C0D02"/>
    <w:rsid w:val="001C1628"/>
    <w:rsid w:val="001C738D"/>
    <w:rsid w:val="001E13EA"/>
    <w:rsid w:val="001E34CC"/>
    <w:rsid w:val="001E6166"/>
    <w:rsid w:val="001E77A5"/>
    <w:rsid w:val="001F0253"/>
    <w:rsid w:val="001F058D"/>
    <w:rsid w:val="001F4DCB"/>
    <w:rsid w:val="002022B9"/>
    <w:rsid w:val="0020310B"/>
    <w:rsid w:val="002040A1"/>
    <w:rsid w:val="00206027"/>
    <w:rsid w:val="002071DA"/>
    <w:rsid w:val="00215A9A"/>
    <w:rsid w:val="00216AF5"/>
    <w:rsid w:val="00220695"/>
    <w:rsid w:val="0022070B"/>
    <w:rsid w:val="002258F0"/>
    <w:rsid w:val="00225B2F"/>
    <w:rsid w:val="00233D79"/>
    <w:rsid w:val="00233DDE"/>
    <w:rsid w:val="00234A80"/>
    <w:rsid w:val="00235DEB"/>
    <w:rsid w:val="00237244"/>
    <w:rsid w:val="002419BF"/>
    <w:rsid w:val="0024291C"/>
    <w:rsid w:val="00243F7E"/>
    <w:rsid w:val="00247349"/>
    <w:rsid w:val="00247884"/>
    <w:rsid w:val="00251A23"/>
    <w:rsid w:val="00253F47"/>
    <w:rsid w:val="00254A13"/>
    <w:rsid w:val="00255237"/>
    <w:rsid w:val="00257063"/>
    <w:rsid w:val="002638CD"/>
    <w:rsid w:val="002638CE"/>
    <w:rsid w:val="0026586F"/>
    <w:rsid w:val="00270CCC"/>
    <w:rsid w:val="0027219A"/>
    <w:rsid w:val="002759B8"/>
    <w:rsid w:val="0028329E"/>
    <w:rsid w:val="00283AB1"/>
    <w:rsid w:val="0028776F"/>
    <w:rsid w:val="00287AC7"/>
    <w:rsid w:val="002910CE"/>
    <w:rsid w:val="002A00D7"/>
    <w:rsid w:val="002A4F41"/>
    <w:rsid w:val="002A628A"/>
    <w:rsid w:val="002A78D6"/>
    <w:rsid w:val="002B277C"/>
    <w:rsid w:val="002B4B47"/>
    <w:rsid w:val="002C50E3"/>
    <w:rsid w:val="002C5169"/>
    <w:rsid w:val="002C5CC7"/>
    <w:rsid w:val="002D0CE5"/>
    <w:rsid w:val="002D0EC4"/>
    <w:rsid w:val="002D182D"/>
    <w:rsid w:val="002D1A16"/>
    <w:rsid w:val="002D31AD"/>
    <w:rsid w:val="002D582B"/>
    <w:rsid w:val="002D6943"/>
    <w:rsid w:val="002E302C"/>
    <w:rsid w:val="002E35D1"/>
    <w:rsid w:val="002E409B"/>
    <w:rsid w:val="002E6FC7"/>
    <w:rsid w:val="002F0E9B"/>
    <w:rsid w:val="002F2293"/>
    <w:rsid w:val="002F3028"/>
    <w:rsid w:val="002F3050"/>
    <w:rsid w:val="002F3E84"/>
    <w:rsid w:val="002F4E61"/>
    <w:rsid w:val="002F58DB"/>
    <w:rsid w:val="002F7861"/>
    <w:rsid w:val="00300507"/>
    <w:rsid w:val="003033C8"/>
    <w:rsid w:val="00304A2F"/>
    <w:rsid w:val="0030783D"/>
    <w:rsid w:val="00307A08"/>
    <w:rsid w:val="0031657B"/>
    <w:rsid w:val="00323381"/>
    <w:rsid w:val="00323B8E"/>
    <w:rsid w:val="0032403C"/>
    <w:rsid w:val="0032459B"/>
    <w:rsid w:val="00325A21"/>
    <w:rsid w:val="00327B8E"/>
    <w:rsid w:val="003311D0"/>
    <w:rsid w:val="0033159F"/>
    <w:rsid w:val="00332BD6"/>
    <w:rsid w:val="00333C47"/>
    <w:rsid w:val="00336FC6"/>
    <w:rsid w:val="003378D4"/>
    <w:rsid w:val="003405F7"/>
    <w:rsid w:val="0034404A"/>
    <w:rsid w:val="00344774"/>
    <w:rsid w:val="0034507F"/>
    <w:rsid w:val="00347A2C"/>
    <w:rsid w:val="00351E61"/>
    <w:rsid w:val="00352382"/>
    <w:rsid w:val="003535E8"/>
    <w:rsid w:val="003539E7"/>
    <w:rsid w:val="00355210"/>
    <w:rsid w:val="00356099"/>
    <w:rsid w:val="00360B17"/>
    <w:rsid w:val="0036142F"/>
    <w:rsid w:val="00362167"/>
    <w:rsid w:val="00362A1B"/>
    <w:rsid w:val="00363488"/>
    <w:rsid w:val="00363EC5"/>
    <w:rsid w:val="00363FAF"/>
    <w:rsid w:val="003648E9"/>
    <w:rsid w:val="00364EA2"/>
    <w:rsid w:val="00366A2B"/>
    <w:rsid w:val="00370523"/>
    <w:rsid w:val="003714DB"/>
    <w:rsid w:val="0037194B"/>
    <w:rsid w:val="00384256"/>
    <w:rsid w:val="00386E9F"/>
    <w:rsid w:val="0039054B"/>
    <w:rsid w:val="0039092E"/>
    <w:rsid w:val="003929CF"/>
    <w:rsid w:val="003974FC"/>
    <w:rsid w:val="003A3B86"/>
    <w:rsid w:val="003A3EE1"/>
    <w:rsid w:val="003A5F05"/>
    <w:rsid w:val="003A6CDA"/>
    <w:rsid w:val="003A6D93"/>
    <w:rsid w:val="003B025A"/>
    <w:rsid w:val="003B1CAD"/>
    <w:rsid w:val="003B22A1"/>
    <w:rsid w:val="003B2AA7"/>
    <w:rsid w:val="003B676F"/>
    <w:rsid w:val="003B6C66"/>
    <w:rsid w:val="003B76E4"/>
    <w:rsid w:val="003C064F"/>
    <w:rsid w:val="003C14A9"/>
    <w:rsid w:val="003C3C19"/>
    <w:rsid w:val="003C4D8F"/>
    <w:rsid w:val="003D1FAF"/>
    <w:rsid w:val="003E16FB"/>
    <w:rsid w:val="003E4F09"/>
    <w:rsid w:val="003E71B2"/>
    <w:rsid w:val="003F3DD5"/>
    <w:rsid w:val="003F551E"/>
    <w:rsid w:val="00400D88"/>
    <w:rsid w:val="004025C7"/>
    <w:rsid w:val="00405F17"/>
    <w:rsid w:val="00415A95"/>
    <w:rsid w:val="00417D22"/>
    <w:rsid w:val="00420275"/>
    <w:rsid w:val="0042059B"/>
    <w:rsid w:val="00421416"/>
    <w:rsid w:val="00421BF2"/>
    <w:rsid w:val="00427F6D"/>
    <w:rsid w:val="00430481"/>
    <w:rsid w:val="00434C45"/>
    <w:rsid w:val="00440DD9"/>
    <w:rsid w:val="00441690"/>
    <w:rsid w:val="004431BE"/>
    <w:rsid w:val="004514FD"/>
    <w:rsid w:val="0045157D"/>
    <w:rsid w:val="004527CE"/>
    <w:rsid w:val="0045560A"/>
    <w:rsid w:val="004571A0"/>
    <w:rsid w:val="004610BB"/>
    <w:rsid w:val="004625C9"/>
    <w:rsid w:val="00463397"/>
    <w:rsid w:val="0046695C"/>
    <w:rsid w:val="00470F3D"/>
    <w:rsid w:val="00471D6D"/>
    <w:rsid w:val="0047612A"/>
    <w:rsid w:val="0048058F"/>
    <w:rsid w:val="004869C0"/>
    <w:rsid w:val="00487F06"/>
    <w:rsid w:val="00490895"/>
    <w:rsid w:val="0049205D"/>
    <w:rsid w:val="0049243C"/>
    <w:rsid w:val="00494488"/>
    <w:rsid w:val="00494C5E"/>
    <w:rsid w:val="00496027"/>
    <w:rsid w:val="004A39FC"/>
    <w:rsid w:val="004A7102"/>
    <w:rsid w:val="004A78D0"/>
    <w:rsid w:val="004B2E97"/>
    <w:rsid w:val="004B3A58"/>
    <w:rsid w:val="004B550A"/>
    <w:rsid w:val="004B62ED"/>
    <w:rsid w:val="004B65CF"/>
    <w:rsid w:val="004C078E"/>
    <w:rsid w:val="004C2C67"/>
    <w:rsid w:val="004C31C5"/>
    <w:rsid w:val="004D00EF"/>
    <w:rsid w:val="004D1647"/>
    <w:rsid w:val="004D61BE"/>
    <w:rsid w:val="004D6663"/>
    <w:rsid w:val="004E46B1"/>
    <w:rsid w:val="004E6B09"/>
    <w:rsid w:val="004E77DD"/>
    <w:rsid w:val="004F4124"/>
    <w:rsid w:val="004F601E"/>
    <w:rsid w:val="00501515"/>
    <w:rsid w:val="00504895"/>
    <w:rsid w:val="005066E2"/>
    <w:rsid w:val="005068B9"/>
    <w:rsid w:val="00515057"/>
    <w:rsid w:val="00517CAF"/>
    <w:rsid w:val="00521650"/>
    <w:rsid w:val="005219B5"/>
    <w:rsid w:val="00522B76"/>
    <w:rsid w:val="0052406B"/>
    <w:rsid w:val="0052783C"/>
    <w:rsid w:val="005306D0"/>
    <w:rsid w:val="005319F4"/>
    <w:rsid w:val="00532248"/>
    <w:rsid w:val="00533A65"/>
    <w:rsid w:val="00535A79"/>
    <w:rsid w:val="00537080"/>
    <w:rsid w:val="0053789D"/>
    <w:rsid w:val="005410A3"/>
    <w:rsid w:val="00541D68"/>
    <w:rsid w:val="005445AF"/>
    <w:rsid w:val="00544E00"/>
    <w:rsid w:val="005474D2"/>
    <w:rsid w:val="0055051C"/>
    <w:rsid w:val="005538E6"/>
    <w:rsid w:val="00557ABC"/>
    <w:rsid w:val="00566807"/>
    <w:rsid w:val="0057082F"/>
    <w:rsid w:val="005715F2"/>
    <w:rsid w:val="00574B3E"/>
    <w:rsid w:val="00577FA2"/>
    <w:rsid w:val="005805D1"/>
    <w:rsid w:val="00580832"/>
    <w:rsid w:val="0058207F"/>
    <w:rsid w:val="00582DAF"/>
    <w:rsid w:val="00584074"/>
    <w:rsid w:val="00584D1F"/>
    <w:rsid w:val="00584FBE"/>
    <w:rsid w:val="0058622B"/>
    <w:rsid w:val="00594805"/>
    <w:rsid w:val="005A156B"/>
    <w:rsid w:val="005A2F10"/>
    <w:rsid w:val="005A42C3"/>
    <w:rsid w:val="005A4C56"/>
    <w:rsid w:val="005A6173"/>
    <w:rsid w:val="005A6FCF"/>
    <w:rsid w:val="005B085E"/>
    <w:rsid w:val="005B0929"/>
    <w:rsid w:val="005B153B"/>
    <w:rsid w:val="005B4083"/>
    <w:rsid w:val="005B487C"/>
    <w:rsid w:val="005B512B"/>
    <w:rsid w:val="005C0CC4"/>
    <w:rsid w:val="005C6ACD"/>
    <w:rsid w:val="005D006F"/>
    <w:rsid w:val="005D2BAB"/>
    <w:rsid w:val="005D419D"/>
    <w:rsid w:val="005D5A96"/>
    <w:rsid w:val="005E208B"/>
    <w:rsid w:val="005E264C"/>
    <w:rsid w:val="005E2EAF"/>
    <w:rsid w:val="005E42BD"/>
    <w:rsid w:val="005F29BC"/>
    <w:rsid w:val="005F3994"/>
    <w:rsid w:val="005F5255"/>
    <w:rsid w:val="005F7662"/>
    <w:rsid w:val="005F7FAF"/>
    <w:rsid w:val="00600F99"/>
    <w:rsid w:val="0060338C"/>
    <w:rsid w:val="0060444E"/>
    <w:rsid w:val="006048BD"/>
    <w:rsid w:val="0060541C"/>
    <w:rsid w:val="006061AF"/>
    <w:rsid w:val="00607533"/>
    <w:rsid w:val="0061089B"/>
    <w:rsid w:val="00616275"/>
    <w:rsid w:val="00616BD9"/>
    <w:rsid w:val="00617806"/>
    <w:rsid w:val="0062049A"/>
    <w:rsid w:val="00621C8D"/>
    <w:rsid w:val="0062531E"/>
    <w:rsid w:val="006266D5"/>
    <w:rsid w:val="0062684C"/>
    <w:rsid w:val="00626CB1"/>
    <w:rsid w:val="006276B2"/>
    <w:rsid w:val="0064395C"/>
    <w:rsid w:val="00646755"/>
    <w:rsid w:val="00650131"/>
    <w:rsid w:val="00650D51"/>
    <w:rsid w:val="00653569"/>
    <w:rsid w:val="00656559"/>
    <w:rsid w:val="0066069F"/>
    <w:rsid w:val="00660A49"/>
    <w:rsid w:val="00661885"/>
    <w:rsid w:val="00661F00"/>
    <w:rsid w:val="00662D98"/>
    <w:rsid w:val="006654F8"/>
    <w:rsid w:val="00667C53"/>
    <w:rsid w:val="0067166A"/>
    <w:rsid w:val="00676BE0"/>
    <w:rsid w:val="00680414"/>
    <w:rsid w:val="00682239"/>
    <w:rsid w:val="00682B15"/>
    <w:rsid w:val="006837F6"/>
    <w:rsid w:val="006863D5"/>
    <w:rsid w:val="00687FFE"/>
    <w:rsid w:val="00690E14"/>
    <w:rsid w:val="00692E13"/>
    <w:rsid w:val="006942C1"/>
    <w:rsid w:val="006964CF"/>
    <w:rsid w:val="006A1031"/>
    <w:rsid w:val="006A1491"/>
    <w:rsid w:val="006A24E0"/>
    <w:rsid w:val="006A27D7"/>
    <w:rsid w:val="006A29AC"/>
    <w:rsid w:val="006A2FAB"/>
    <w:rsid w:val="006A6BEB"/>
    <w:rsid w:val="006A70F3"/>
    <w:rsid w:val="006B1850"/>
    <w:rsid w:val="006B33AC"/>
    <w:rsid w:val="006B426E"/>
    <w:rsid w:val="006B4F1C"/>
    <w:rsid w:val="006C0F6E"/>
    <w:rsid w:val="006C5A7C"/>
    <w:rsid w:val="006C7993"/>
    <w:rsid w:val="006C7E69"/>
    <w:rsid w:val="006D2007"/>
    <w:rsid w:val="006D23EE"/>
    <w:rsid w:val="006D4517"/>
    <w:rsid w:val="006D5D6A"/>
    <w:rsid w:val="006D6A89"/>
    <w:rsid w:val="006E1D82"/>
    <w:rsid w:val="006E4546"/>
    <w:rsid w:val="006E5915"/>
    <w:rsid w:val="006E63B6"/>
    <w:rsid w:val="006E7FFA"/>
    <w:rsid w:val="006F1AB5"/>
    <w:rsid w:val="006F1F55"/>
    <w:rsid w:val="006F2A72"/>
    <w:rsid w:val="006F4C26"/>
    <w:rsid w:val="006F55AB"/>
    <w:rsid w:val="006F6B53"/>
    <w:rsid w:val="006F7505"/>
    <w:rsid w:val="007022FC"/>
    <w:rsid w:val="0070342D"/>
    <w:rsid w:val="0070346B"/>
    <w:rsid w:val="00707319"/>
    <w:rsid w:val="00710835"/>
    <w:rsid w:val="00716F02"/>
    <w:rsid w:val="00717318"/>
    <w:rsid w:val="00721C66"/>
    <w:rsid w:val="007232ED"/>
    <w:rsid w:val="00730448"/>
    <w:rsid w:val="00730B45"/>
    <w:rsid w:val="007314A3"/>
    <w:rsid w:val="00731A0B"/>
    <w:rsid w:val="00734192"/>
    <w:rsid w:val="0073579D"/>
    <w:rsid w:val="0073654B"/>
    <w:rsid w:val="00745F64"/>
    <w:rsid w:val="0074622D"/>
    <w:rsid w:val="00750485"/>
    <w:rsid w:val="00750660"/>
    <w:rsid w:val="00750B60"/>
    <w:rsid w:val="00755517"/>
    <w:rsid w:val="00756FB8"/>
    <w:rsid w:val="007574D2"/>
    <w:rsid w:val="00760845"/>
    <w:rsid w:val="00762E05"/>
    <w:rsid w:val="00770D83"/>
    <w:rsid w:val="00773024"/>
    <w:rsid w:val="00774C33"/>
    <w:rsid w:val="00775638"/>
    <w:rsid w:val="00777C7B"/>
    <w:rsid w:val="00781666"/>
    <w:rsid w:val="007822FE"/>
    <w:rsid w:val="007840DE"/>
    <w:rsid w:val="00787DDC"/>
    <w:rsid w:val="00790DE5"/>
    <w:rsid w:val="0079362B"/>
    <w:rsid w:val="00794074"/>
    <w:rsid w:val="007957EB"/>
    <w:rsid w:val="00795EFE"/>
    <w:rsid w:val="007A16D7"/>
    <w:rsid w:val="007A291D"/>
    <w:rsid w:val="007A6F69"/>
    <w:rsid w:val="007B24B2"/>
    <w:rsid w:val="007B2D31"/>
    <w:rsid w:val="007B458A"/>
    <w:rsid w:val="007B6883"/>
    <w:rsid w:val="007B68D9"/>
    <w:rsid w:val="007B7301"/>
    <w:rsid w:val="007C1D1E"/>
    <w:rsid w:val="007C4052"/>
    <w:rsid w:val="007C79DF"/>
    <w:rsid w:val="007D0172"/>
    <w:rsid w:val="007D36F8"/>
    <w:rsid w:val="007D3899"/>
    <w:rsid w:val="007D6E1B"/>
    <w:rsid w:val="007E0491"/>
    <w:rsid w:val="007E0A5F"/>
    <w:rsid w:val="007E4508"/>
    <w:rsid w:val="007E6076"/>
    <w:rsid w:val="007E674C"/>
    <w:rsid w:val="007E6A5F"/>
    <w:rsid w:val="007F4E48"/>
    <w:rsid w:val="00805BF4"/>
    <w:rsid w:val="008122A4"/>
    <w:rsid w:val="0081347B"/>
    <w:rsid w:val="00816A92"/>
    <w:rsid w:val="008213D7"/>
    <w:rsid w:val="00826DF5"/>
    <w:rsid w:val="008314E0"/>
    <w:rsid w:val="008354D1"/>
    <w:rsid w:val="00836861"/>
    <w:rsid w:val="00837E44"/>
    <w:rsid w:val="00840F06"/>
    <w:rsid w:val="00844CB0"/>
    <w:rsid w:val="00850E80"/>
    <w:rsid w:val="0085176E"/>
    <w:rsid w:val="008523D3"/>
    <w:rsid w:val="00853887"/>
    <w:rsid w:val="008548AC"/>
    <w:rsid w:val="0085566B"/>
    <w:rsid w:val="00855B8F"/>
    <w:rsid w:val="00863196"/>
    <w:rsid w:val="008701DC"/>
    <w:rsid w:val="008729D2"/>
    <w:rsid w:val="00873477"/>
    <w:rsid w:val="0087666C"/>
    <w:rsid w:val="0088416D"/>
    <w:rsid w:val="008864C3"/>
    <w:rsid w:val="00886B70"/>
    <w:rsid w:val="008910CA"/>
    <w:rsid w:val="00893285"/>
    <w:rsid w:val="00894B45"/>
    <w:rsid w:val="00897942"/>
    <w:rsid w:val="00897EB1"/>
    <w:rsid w:val="008B19C6"/>
    <w:rsid w:val="008B2B5A"/>
    <w:rsid w:val="008B3970"/>
    <w:rsid w:val="008B3C8B"/>
    <w:rsid w:val="008B5448"/>
    <w:rsid w:val="008B5F7F"/>
    <w:rsid w:val="008B6B13"/>
    <w:rsid w:val="008C0274"/>
    <w:rsid w:val="008C11C0"/>
    <w:rsid w:val="008C13C5"/>
    <w:rsid w:val="008C5455"/>
    <w:rsid w:val="008D27D7"/>
    <w:rsid w:val="008D4E4F"/>
    <w:rsid w:val="008D5222"/>
    <w:rsid w:val="008E0A8E"/>
    <w:rsid w:val="008E13AD"/>
    <w:rsid w:val="008E1671"/>
    <w:rsid w:val="008E176F"/>
    <w:rsid w:val="008E2578"/>
    <w:rsid w:val="008E5E11"/>
    <w:rsid w:val="008F3AC3"/>
    <w:rsid w:val="008F6987"/>
    <w:rsid w:val="008F6B8D"/>
    <w:rsid w:val="008F6D3F"/>
    <w:rsid w:val="009020AA"/>
    <w:rsid w:val="00902BDB"/>
    <w:rsid w:val="00904F1D"/>
    <w:rsid w:val="00905781"/>
    <w:rsid w:val="00906AC0"/>
    <w:rsid w:val="00910B9F"/>
    <w:rsid w:val="00911B44"/>
    <w:rsid w:val="009121D9"/>
    <w:rsid w:val="00914429"/>
    <w:rsid w:val="009159C8"/>
    <w:rsid w:val="00917D6B"/>
    <w:rsid w:val="00920E0C"/>
    <w:rsid w:val="00922E79"/>
    <w:rsid w:val="00925153"/>
    <w:rsid w:val="0092551D"/>
    <w:rsid w:val="00931CA2"/>
    <w:rsid w:val="00935EF3"/>
    <w:rsid w:val="00937F7C"/>
    <w:rsid w:val="0094198C"/>
    <w:rsid w:val="00941BCB"/>
    <w:rsid w:val="00942759"/>
    <w:rsid w:val="00945103"/>
    <w:rsid w:val="00950E74"/>
    <w:rsid w:val="00950FBA"/>
    <w:rsid w:val="0095353F"/>
    <w:rsid w:val="00954337"/>
    <w:rsid w:val="00954C17"/>
    <w:rsid w:val="00956ACC"/>
    <w:rsid w:val="00965853"/>
    <w:rsid w:val="00966223"/>
    <w:rsid w:val="00966953"/>
    <w:rsid w:val="009709B6"/>
    <w:rsid w:val="0097545B"/>
    <w:rsid w:val="00977E30"/>
    <w:rsid w:val="00983288"/>
    <w:rsid w:val="00984CE9"/>
    <w:rsid w:val="00986120"/>
    <w:rsid w:val="0099165B"/>
    <w:rsid w:val="009917DF"/>
    <w:rsid w:val="00991E65"/>
    <w:rsid w:val="00992750"/>
    <w:rsid w:val="009934BC"/>
    <w:rsid w:val="00995413"/>
    <w:rsid w:val="009962FC"/>
    <w:rsid w:val="009967A8"/>
    <w:rsid w:val="00997BDD"/>
    <w:rsid w:val="00997E42"/>
    <w:rsid w:val="009A1406"/>
    <w:rsid w:val="009A1CA3"/>
    <w:rsid w:val="009A2EC8"/>
    <w:rsid w:val="009A3445"/>
    <w:rsid w:val="009A3B86"/>
    <w:rsid w:val="009A4BF1"/>
    <w:rsid w:val="009B3FA7"/>
    <w:rsid w:val="009B4889"/>
    <w:rsid w:val="009C011F"/>
    <w:rsid w:val="009C0D74"/>
    <w:rsid w:val="009C10C8"/>
    <w:rsid w:val="009C33F2"/>
    <w:rsid w:val="009C3951"/>
    <w:rsid w:val="009C440B"/>
    <w:rsid w:val="009C4774"/>
    <w:rsid w:val="009C512C"/>
    <w:rsid w:val="009C58B5"/>
    <w:rsid w:val="009D0679"/>
    <w:rsid w:val="009D125A"/>
    <w:rsid w:val="009D3631"/>
    <w:rsid w:val="009D4EE2"/>
    <w:rsid w:val="009D607E"/>
    <w:rsid w:val="009D762E"/>
    <w:rsid w:val="009D7C6C"/>
    <w:rsid w:val="009E2772"/>
    <w:rsid w:val="009E380C"/>
    <w:rsid w:val="009E3C81"/>
    <w:rsid w:val="009E3DA4"/>
    <w:rsid w:val="009E6EAC"/>
    <w:rsid w:val="009E7600"/>
    <w:rsid w:val="009F044A"/>
    <w:rsid w:val="009F0DA5"/>
    <w:rsid w:val="009F29EE"/>
    <w:rsid w:val="009F33D2"/>
    <w:rsid w:val="009F3C6C"/>
    <w:rsid w:val="009F55FA"/>
    <w:rsid w:val="009F6340"/>
    <w:rsid w:val="009F687A"/>
    <w:rsid w:val="00A01DE8"/>
    <w:rsid w:val="00A0221E"/>
    <w:rsid w:val="00A024FB"/>
    <w:rsid w:val="00A03A4F"/>
    <w:rsid w:val="00A05C62"/>
    <w:rsid w:val="00A11B62"/>
    <w:rsid w:val="00A11D1D"/>
    <w:rsid w:val="00A11E89"/>
    <w:rsid w:val="00A12345"/>
    <w:rsid w:val="00A12672"/>
    <w:rsid w:val="00A1529E"/>
    <w:rsid w:val="00A16C52"/>
    <w:rsid w:val="00A23619"/>
    <w:rsid w:val="00A2392D"/>
    <w:rsid w:val="00A24C44"/>
    <w:rsid w:val="00A25005"/>
    <w:rsid w:val="00A26861"/>
    <w:rsid w:val="00A2688D"/>
    <w:rsid w:val="00A31364"/>
    <w:rsid w:val="00A316BE"/>
    <w:rsid w:val="00A35B98"/>
    <w:rsid w:val="00A362C3"/>
    <w:rsid w:val="00A36474"/>
    <w:rsid w:val="00A369E5"/>
    <w:rsid w:val="00A3749E"/>
    <w:rsid w:val="00A40853"/>
    <w:rsid w:val="00A410BF"/>
    <w:rsid w:val="00A438C8"/>
    <w:rsid w:val="00A43FCB"/>
    <w:rsid w:val="00A44724"/>
    <w:rsid w:val="00A47355"/>
    <w:rsid w:val="00A51B31"/>
    <w:rsid w:val="00A5321F"/>
    <w:rsid w:val="00A5549D"/>
    <w:rsid w:val="00A6003D"/>
    <w:rsid w:val="00A63582"/>
    <w:rsid w:val="00A6531D"/>
    <w:rsid w:val="00A65540"/>
    <w:rsid w:val="00A66BA1"/>
    <w:rsid w:val="00A6793A"/>
    <w:rsid w:val="00A73632"/>
    <w:rsid w:val="00A803EF"/>
    <w:rsid w:val="00A80F17"/>
    <w:rsid w:val="00A81845"/>
    <w:rsid w:val="00A81906"/>
    <w:rsid w:val="00A83738"/>
    <w:rsid w:val="00A83BE0"/>
    <w:rsid w:val="00A84E36"/>
    <w:rsid w:val="00A858C5"/>
    <w:rsid w:val="00A90822"/>
    <w:rsid w:val="00A92431"/>
    <w:rsid w:val="00A9245A"/>
    <w:rsid w:val="00A92F20"/>
    <w:rsid w:val="00A9330E"/>
    <w:rsid w:val="00A94AA0"/>
    <w:rsid w:val="00A96172"/>
    <w:rsid w:val="00AA33D4"/>
    <w:rsid w:val="00AA3611"/>
    <w:rsid w:val="00AA3CCA"/>
    <w:rsid w:val="00AA4A01"/>
    <w:rsid w:val="00AA4BA5"/>
    <w:rsid w:val="00AA52EB"/>
    <w:rsid w:val="00AA5762"/>
    <w:rsid w:val="00AA5FE4"/>
    <w:rsid w:val="00AA71A2"/>
    <w:rsid w:val="00AB0F8E"/>
    <w:rsid w:val="00AB37CA"/>
    <w:rsid w:val="00AB3E3F"/>
    <w:rsid w:val="00AB5BA0"/>
    <w:rsid w:val="00AB6E55"/>
    <w:rsid w:val="00AB74F5"/>
    <w:rsid w:val="00AB7E9C"/>
    <w:rsid w:val="00AC1E7D"/>
    <w:rsid w:val="00AC22A4"/>
    <w:rsid w:val="00AC3635"/>
    <w:rsid w:val="00AC5415"/>
    <w:rsid w:val="00AC5AF8"/>
    <w:rsid w:val="00AC6190"/>
    <w:rsid w:val="00AD060A"/>
    <w:rsid w:val="00AD472E"/>
    <w:rsid w:val="00AD5B86"/>
    <w:rsid w:val="00AE0C76"/>
    <w:rsid w:val="00AE1CBF"/>
    <w:rsid w:val="00AE4CD3"/>
    <w:rsid w:val="00AE51F0"/>
    <w:rsid w:val="00AE6BF8"/>
    <w:rsid w:val="00AE7E74"/>
    <w:rsid w:val="00AF603B"/>
    <w:rsid w:val="00B015EA"/>
    <w:rsid w:val="00B02486"/>
    <w:rsid w:val="00B05AF1"/>
    <w:rsid w:val="00B06D4D"/>
    <w:rsid w:val="00B07473"/>
    <w:rsid w:val="00B12E38"/>
    <w:rsid w:val="00B13D03"/>
    <w:rsid w:val="00B15167"/>
    <w:rsid w:val="00B16C86"/>
    <w:rsid w:val="00B16F1E"/>
    <w:rsid w:val="00B2001D"/>
    <w:rsid w:val="00B20DB5"/>
    <w:rsid w:val="00B22B6C"/>
    <w:rsid w:val="00B23129"/>
    <w:rsid w:val="00B27914"/>
    <w:rsid w:val="00B30AE0"/>
    <w:rsid w:val="00B3139B"/>
    <w:rsid w:val="00B32D91"/>
    <w:rsid w:val="00B413E4"/>
    <w:rsid w:val="00B442A2"/>
    <w:rsid w:val="00B50A56"/>
    <w:rsid w:val="00B54B9C"/>
    <w:rsid w:val="00B5542A"/>
    <w:rsid w:val="00B61CA9"/>
    <w:rsid w:val="00B6218D"/>
    <w:rsid w:val="00B65876"/>
    <w:rsid w:val="00B73521"/>
    <w:rsid w:val="00B73F69"/>
    <w:rsid w:val="00B7473E"/>
    <w:rsid w:val="00B76CC8"/>
    <w:rsid w:val="00B77C69"/>
    <w:rsid w:val="00B80E4C"/>
    <w:rsid w:val="00B82CD3"/>
    <w:rsid w:val="00B831BD"/>
    <w:rsid w:val="00B85C64"/>
    <w:rsid w:val="00B86434"/>
    <w:rsid w:val="00B94AB7"/>
    <w:rsid w:val="00B94E8D"/>
    <w:rsid w:val="00B95B9C"/>
    <w:rsid w:val="00BA1EF1"/>
    <w:rsid w:val="00BA386D"/>
    <w:rsid w:val="00BA4A7A"/>
    <w:rsid w:val="00BA4EB7"/>
    <w:rsid w:val="00BA7763"/>
    <w:rsid w:val="00BB1DBB"/>
    <w:rsid w:val="00BB3ED7"/>
    <w:rsid w:val="00BB4FC5"/>
    <w:rsid w:val="00BB5346"/>
    <w:rsid w:val="00BC04B0"/>
    <w:rsid w:val="00BC1D80"/>
    <w:rsid w:val="00BC27C8"/>
    <w:rsid w:val="00BC3ABD"/>
    <w:rsid w:val="00BC48D5"/>
    <w:rsid w:val="00BC6BD8"/>
    <w:rsid w:val="00BC7D16"/>
    <w:rsid w:val="00BD1FCB"/>
    <w:rsid w:val="00BD208B"/>
    <w:rsid w:val="00BD77DD"/>
    <w:rsid w:val="00BE1B48"/>
    <w:rsid w:val="00BE221C"/>
    <w:rsid w:val="00BE2304"/>
    <w:rsid w:val="00BE3F9C"/>
    <w:rsid w:val="00BE6771"/>
    <w:rsid w:val="00BF1603"/>
    <w:rsid w:val="00BF2514"/>
    <w:rsid w:val="00BF4089"/>
    <w:rsid w:val="00BF63AA"/>
    <w:rsid w:val="00BF6E57"/>
    <w:rsid w:val="00BF7C98"/>
    <w:rsid w:val="00C023ED"/>
    <w:rsid w:val="00C02993"/>
    <w:rsid w:val="00C044BF"/>
    <w:rsid w:val="00C10E30"/>
    <w:rsid w:val="00C1138B"/>
    <w:rsid w:val="00C14793"/>
    <w:rsid w:val="00C15094"/>
    <w:rsid w:val="00C15C61"/>
    <w:rsid w:val="00C208C0"/>
    <w:rsid w:val="00C2186A"/>
    <w:rsid w:val="00C24051"/>
    <w:rsid w:val="00C262CB"/>
    <w:rsid w:val="00C32243"/>
    <w:rsid w:val="00C36151"/>
    <w:rsid w:val="00C36ECC"/>
    <w:rsid w:val="00C370D8"/>
    <w:rsid w:val="00C423CF"/>
    <w:rsid w:val="00C43ECE"/>
    <w:rsid w:val="00C46FC4"/>
    <w:rsid w:val="00C51056"/>
    <w:rsid w:val="00C5128B"/>
    <w:rsid w:val="00C51943"/>
    <w:rsid w:val="00C52C74"/>
    <w:rsid w:val="00C53179"/>
    <w:rsid w:val="00C54826"/>
    <w:rsid w:val="00C54C9A"/>
    <w:rsid w:val="00C55118"/>
    <w:rsid w:val="00C55A4D"/>
    <w:rsid w:val="00C61378"/>
    <w:rsid w:val="00C62CB5"/>
    <w:rsid w:val="00C63337"/>
    <w:rsid w:val="00C67768"/>
    <w:rsid w:val="00C71414"/>
    <w:rsid w:val="00C75454"/>
    <w:rsid w:val="00C7595D"/>
    <w:rsid w:val="00C77B6C"/>
    <w:rsid w:val="00C80A2A"/>
    <w:rsid w:val="00C81CA3"/>
    <w:rsid w:val="00C81E84"/>
    <w:rsid w:val="00C83BC0"/>
    <w:rsid w:val="00C8422E"/>
    <w:rsid w:val="00C84403"/>
    <w:rsid w:val="00C84981"/>
    <w:rsid w:val="00C85A08"/>
    <w:rsid w:val="00C86C92"/>
    <w:rsid w:val="00C8759E"/>
    <w:rsid w:val="00C87F41"/>
    <w:rsid w:val="00C97300"/>
    <w:rsid w:val="00CA5303"/>
    <w:rsid w:val="00CA5D54"/>
    <w:rsid w:val="00CA7843"/>
    <w:rsid w:val="00CB08E2"/>
    <w:rsid w:val="00CB0A21"/>
    <w:rsid w:val="00CB21A0"/>
    <w:rsid w:val="00CB2E7B"/>
    <w:rsid w:val="00CB2FE7"/>
    <w:rsid w:val="00CB4146"/>
    <w:rsid w:val="00CB4C66"/>
    <w:rsid w:val="00CB756C"/>
    <w:rsid w:val="00CC2C98"/>
    <w:rsid w:val="00CC486B"/>
    <w:rsid w:val="00CC4ED0"/>
    <w:rsid w:val="00CC5140"/>
    <w:rsid w:val="00CC779F"/>
    <w:rsid w:val="00CC78AC"/>
    <w:rsid w:val="00CD39D4"/>
    <w:rsid w:val="00CD5339"/>
    <w:rsid w:val="00CD5F7D"/>
    <w:rsid w:val="00CE02C3"/>
    <w:rsid w:val="00CE7461"/>
    <w:rsid w:val="00CF3CD1"/>
    <w:rsid w:val="00CF42E0"/>
    <w:rsid w:val="00CF4468"/>
    <w:rsid w:val="00D005AC"/>
    <w:rsid w:val="00D02614"/>
    <w:rsid w:val="00D02899"/>
    <w:rsid w:val="00D05EEA"/>
    <w:rsid w:val="00D065A5"/>
    <w:rsid w:val="00D065BD"/>
    <w:rsid w:val="00D10EE2"/>
    <w:rsid w:val="00D13557"/>
    <w:rsid w:val="00D136F7"/>
    <w:rsid w:val="00D14FA1"/>
    <w:rsid w:val="00D15C3D"/>
    <w:rsid w:val="00D168C8"/>
    <w:rsid w:val="00D211CB"/>
    <w:rsid w:val="00D2144A"/>
    <w:rsid w:val="00D215BA"/>
    <w:rsid w:val="00D22EA9"/>
    <w:rsid w:val="00D23BC5"/>
    <w:rsid w:val="00D26300"/>
    <w:rsid w:val="00D26938"/>
    <w:rsid w:val="00D27767"/>
    <w:rsid w:val="00D30B41"/>
    <w:rsid w:val="00D321F1"/>
    <w:rsid w:val="00D32584"/>
    <w:rsid w:val="00D33867"/>
    <w:rsid w:val="00D35A61"/>
    <w:rsid w:val="00D36D1E"/>
    <w:rsid w:val="00D432A8"/>
    <w:rsid w:val="00D47A94"/>
    <w:rsid w:val="00D50335"/>
    <w:rsid w:val="00D52538"/>
    <w:rsid w:val="00D55E99"/>
    <w:rsid w:val="00D56626"/>
    <w:rsid w:val="00D57FEA"/>
    <w:rsid w:val="00D6138A"/>
    <w:rsid w:val="00D62B73"/>
    <w:rsid w:val="00D671D5"/>
    <w:rsid w:val="00D67346"/>
    <w:rsid w:val="00D67756"/>
    <w:rsid w:val="00D7153E"/>
    <w:rsid w:val="00D72E14"/>
    <w:rsid w:val="00D73708"/>
    <w:rsid w:val="00D776BD"/>
    <w:rsid w:val="00D846A6"/>
    <w:rsid w:val="00D855F7"/>
    <w:rsid w:val="00D85E62"/>
    <w:rsid w:val="00D86E93"/>
    <w:rsid w:val="00D87A5E"/>
    <w:rsid w:val="00D92849"/>
    <w:rsid w:val="00D941BB"/>
    <w:rsid w:val="00D9480E"/>
    <w:rsid w:val="00D95CAF"/>
    <w:rsid w:val="00DA1234"/>
    <w:rsid w:val="00DA1CE9"/>
    <w:rsid w:val="00DA7426"/>
    <w:rsid w:val="00DB360E"/>
    <w:rsid w:val="00DB44E5"/>
    <w:rsid w:val="00DB4BDE"/>
    <w:rsid w:val="00DB7336"/>
    <w:rsid w:val="00DC03EA"/>
    <w:rsid w:val="00DC0782"/>
    <w:rsid w:val="00DC2B52"/>
    <w:rsid w:val="00DC58B5"/>
    <w:rsid w:val="00DC7489"/>
    <w:rsid w:val="00DD0012"/>
    <w:rsid w:val="00DD6018"/>
    <w:rsid w:val="00DD7D62"/>
    <w:rsid w:val="00DE1BAA"/>
    <w:rsid w:val="00DE24CC"/>
    <w:rsid w:val="00DF0428"/>
    <w:rsid w:val="00DF70AC"/>
    <w:rsid w:val="00DF7420"/>
    <w:rsid w:val="00E00962"/>
    <w:rsid w:val="00E0243A"/>
    <w:rsid w:val="00E05235"/>
    <w:rsid w:val="00E1212D"/>
    <w:rsid w:val="00E127D9"/>
    <w:rsid w:val="00E152D4"/>
    <w:rsid w:val="00E15FDB"/>
    <w:rsid w:val="00E20F46"/>
    <w:rsid w:val="00E35921"/>
    <w:rsid w:val="00E35E2E"/>
    <w:rsid w:val="00E37DE3"/>
    <w:rsid w:val="00E40E7E"/>
    <w:rsid w:val="00E4148A"/>
    <w:rsid w:val="00E42023"/>
    <w:rsid w:val="00E4483A"/>
    <w:rsid w:val="00E47972"/>
    <w:rsid w:val="00E51952"/>
    <w:rsid w:val="00E52DD0"/>
    <w:rsid w:val="00E53A7E"/>
    <w:rsid w:val="00E57BF6"/>
    <w:rsid w:val="00E57E30"/>
    <w:rsid w:val="00E60F32"/>
    <w:rsid w:val="00E618CC"/>
    <w:rsid w:val="00E61E5A"/>
    <w:rsid w:val="00E66B9B"/>
    <w:rsid w:val="00E673FE"/>
    <w:rsid w:val="00E700A6"/>
    <w:rsid w:val="00E72459"/>
    <w:rsid w:val="00E73695"/>
    <w:rsid w:val="00E748BE"/>
    <w:rsid w:val="00E76219"/>
    <w:rsid w:val="00E766F7"/>
    <w:rsid w:val="00E81C87"/>
    <w:rsid w:val="00E84A58"/>
    <w:rsid w:val="00E86940"/>
    <w:rsid w:val="00E87F82"/>
    <w:rsid w:val="00E94606"/>
    <w:rsid w:val="00E9576A"/>
    <w:rsid w:val="00E977D3"/>
    <w:rsid w:val="00EA0F84"/>
    <w:rsid w:val="00EA1353"/>
    <w:rsid w:val="00EA1FE8"/>
    <w:rsid w:val="00EA234C"/>
    <w:rsid w:val="00EA3713"/>
    <w:rsid w:val="00EA3BFD"/>
    <w:rsid w:val="00EA4B18"/>
    <w:rsid w:val="00EA5C27"/>
    <w:rsid w:val="00EA7EF9"/>
    <w:rsid w:val="00EB1CFE"/>
    <w:rsid w:val="00EB20CB"/>
    <w:rsid w:val="00EB5C53"/>
    <w:rsid w:val="00EB6164"/>
    <w:rsid w:val="00EB6299"/>
    <w:rsid w:val="00EB682D"/>
    <w:rsid w:val="00EC0346"/>
    <w:rsid w:val="00EC1C04"/>
    <w:rsid w:val="00EC3686"/>
    <w:rsid w:val="00EC373F"/>
    <w:rsid w:val="00EC45B9"/>
    <w:rsid w:val="00EC47EF"/>
    <w:rsid w:val="00ED25A0"/>
    <w:rsid w:val="00ED543C"/>
    <w:rsid w:val="00ED5C67"/>
    <w:rsid w:val="00ED74CD"/>
    <w:rsid w:val="00EE261A"/>
    <w:rsid w:val="00EE5CCD"/>
    <w:rsid w:val="00EE78E3"/>
    <w:rsid w:val="00EF2259"/>
    <w:rsid w:val="00EF47AF"/>
    <w:rsid w:val="00EF5406"/>
    <w:rsid w:val="00EF615E"/>
    <w:rsid w:val="00EF7BD1"/>
    <w:rsid w:val="00F03D99"/>
    <w:rsid w:val="00F0400D"/>
    <w:rsid w:val="00F06241"/>
    <w:rsid w:val="00F07AB6"/>
    <w:rsid w:val="00F15878"/>
    <w:rsid w:val="00F1710F"/>
    <w:rsid w:val="00F175E2"/>
    <w:rsid w:val="00F20264"/>
    <w:rsid w:val="00F22074"/>
    <w:rsid w:val="00F267A6"/>
    <w:rsid w:val="00F30186"/>
    <w:rsid w:val="00F31280"/>
    <w:rsid w:val="00F41F8D"/>
    <w:rsid w:val="00F4464F"/>
    <w:rsid w:val="00F501F8"/>
    <w:rsid w:val="00F50C3B"/>
    <w:rsid w:val="00F51946"/>
    <w:rsid w:val="00F51A82"/>
    <w:rsid w:val="00F520F5"/>
    <w:rsid w:val="00F53649"/>
    <w:rsid w:val="00F55953"/>
    <w:rsid w:val="00F60884"/>
    <w:rsid w:val="00F608B1"/>
    <w:rsid w:val="00F61A11"/>
    <w:rsid w:val="00F71146"/>
    <w:rsid w:val="00F72787"/>
    <w:rsid w:val="00F7353D"/>
    <w:rsid w:val="00F80EEA"/>
    <w:rsid w:val="00F80F13"/>
    <w:rsid w:val="00F81F27"/>
    <w:rsid w:val="00F82067"/>
    <w:rsid w:val="00F82665"/>
    <w:rsid w:val="00F82BA6"/>
    <w:rsid w:val="00F83EAF"/>
    <w:rsid w:val="00F85A75"/>
    <w:rsid w:val="00F86B46"/>
    <w:rsid w:val="00F8777A"/>
    <w:rsid w:val="00F87C6A"/>
    <w:rsid w:val="00F9129B"/>
    <w:rsid w:val="00F92A48"/>
    <w:rsid w:val="00F95B1B"/>
    <w:rsid w:val="00F95DB6"/>
    <w:rsid w:val="00FA31B8"/>
    <w:rsid w:val="00FA58AD"/>
    <w:rsid w:val="00FA674A"/>
    <w:rsid w:val="00FA69EF"/>
    <w:rsid w:val="00FB1427"/>
    <w:rsid w:val="00FB4687"/>
    <w:rsid w:val="00FB7874"/>
    <w:rsid w:val="00FC1247"/>
    <w:rsid w:val="00FC3F4A"/>
    <w:rsid w:val="00FC5768"/>
    <w:rsid w:val="00FC5DC6"/>
    <w:rsid w:val="00FC62C8"/>
    <w:rsid w:val="00FC6AB3"/>
    <w:rsid w:val="00FD3938"/>
    <w:rsid w:val="00FD4070"/>
    <w:rsid w:val="00FD48FF"/>
    <w:rsid w:val="00FE089C"/>
    <w:rsid w:val="00FE40EF"/>
    <w:rsid w:val="00FE5637"/>
    <w:rsid w:val="00FE69A9"/>
    <w:rsid w:val="00FE7265"/>
    <w:rsid w:val="00FE7495"/>
    <w:rsid w:val="00FE7E83"/>
    <w:rsid w:val="00FF1250"/>
    <w:rsid w:val="00FF1843"/>
    <w:rsid w:val="016A78E8"/>
    <w:rsid w:val="024D3921"/>
    <w:rsid w:val="02906142"/>
    <w:rsid w:val="03870C59"/>
    <w:rsid w:val="058A1323"/>
    <w:rsid w:val="07A8169D"/>
    <w:rsid w:val="09781919"/>
    <w:rsid w:val="09FF14F4"/>
    <w:rsid w:val="0A220FA2"/>
    <w:rsid w:val="0A2452D6"/>
    <w:rsid w:val="0A3864D3"/>
    <w:rsid w:val="0B6F0789"/>
    <w:rsid w:val="0C413177"/>
    <w:rsid w:val="0CA20839"/>
    <w:rsid w:val="0E1D03B8"/>
    <w:rsid w:val="0E3B58C3"/>
    <w:rsid w:val="0E922575"/>
    <w:rsid w:val="0F83743D"/>
    <w:rsid w:val="0F8C3433"/>
    <w:rsid w:val="1016349C"/>
    <w:rsid w:val="107E1FB5"/>
    <w:rsid w:val="10C34B35"/>
    <w:rsid w:val="11061A6B"/>
    <w:rsid w:val="115049F7"/>
    <w:rsid w:val="11C93DFC"/>
    <w:rsid w:val="12E32111"/>
    <w:rsid w:val="14A919A5"/>
    <w:rsid w:val="14DE264A"/>
    <w:rsid w:val="14E909DB"/>
    <w:rsid w:val="1523533D"/>
    <w:rsid w:val="16533AF4"/>
    <w:rsid w:val="16BB22C4"/>
    <w:rsid w:val="174C3A48"/>
    <w:rsid w:val="17B346F1"/>
    <w:rsid w:val="18441358"/>
    <w:rsid w:val="185309F7"/>
    <w:rsid w:val="1A55501B"/>
    <w:rsid w:val="1A7A29AD"/>
    <w:rsid w:val="1C386E1E"/>
    <w:rsid w:val="1D0825CA"/>
    <w:rsid w:val="1D207356"/>
    <w:rsid w:val="1DC16EE0"/>
    <w:rsid w:val="1DFE0F43"/>
    <w:rsid w:val="1E2D35C2"/>
    <w:rsid w:val="1ED400C9"/>
    <w:rsid w:val="1ED434B6"/>
    <w:rsid w:val="1F0266F4"/>
    <w:rsid w:val="20851F10"/>
    <w:rsid w:val="20E06A7D"/>
    <w:rsid w:val="215B3018"/>
    <w:rsid w:val="2251426A"/>
    <w:rsid w:val="225E500E"/>
    <w:rsid w:val="22910BFE"/>
    <w:rsid w:val="22A72B65"/>
    <w:rsid w:val="29084DDE"/>
    <w:rsid w:val="290A2717"/>
    <w:rsid w:val="297A769B"/>
    <w:rsid w:val="29DE2450"/>
    <w:rsid w:val="2B2B53FB"/>
    <w:rsid w:val="2CB67B5A"/>
    <w:rsid w:val="2D8E0DCA"/>
    <w:rsid w:val="2F0403D7"/>
    <w:rsid w:val="2F0B63C0"/>
    <w:rsid w:val="2F126481"/>
    <w:rsid w:val="2F2D197E"/>
    <w:rsid w:val="2FDC18EE"/>
    <w:rsid w:val="306A5E79"/>
    <w:rsid w:val="313708CB"/>
    <w:rsid w:val="31B17F98"/>
    <w:rsid w:val="32090C24"/>
    <w:rsid w:val="322434B4"/>
    <w:rsid w:val="33870792"/>
    <w:rsid w:val="348C2544"/>
    <w:rsid w:val="348E1C47"/>
    <w:rsid w:val="353D2CE5"/>
    <w:rsid w:val="359D4003"/>
    <w:rsid w:val="36CD2176"/>
    <w:rsid w:val="37FB6F87"/>
    <w:rsid w:val="38831A22"/>
    <w:rsid w:val="391842BA"/>
    <w:rsid w:val="3986798D"/>
    <w:rsid w:val="39985E8D"/>
    <w:rsid w:val="39EB2094"/>
    <w:rsid w:val="39F374A0"/>
    <w:rsid w:val="3BE453AA"/>
    <w:rsid w:val="3C39515C"/>
    <w:rsid w:val="3C6D2133"/>
    <w:rsid w:val="3C8F5E3B"/>
    <w:rsid w:val="3CBE53B5"/>
    <w:rsid w:val="3D66234A"/>
    <w:rsid w:val="3EAD2662"/>
    <w:rsid w:val="3F655AF9"/>
    <w:rsid w:val="401B2838"/>
    <w:rsid w:val="401F4F38"/>
    <w:rsid w:val="40AE7B62"/>
    <w:rsid w:val="4222370F"/>
    <w:rsid w:val="43CA65E3"/>
    <w:rsid w:val="443E588E"/>
    <w:rsid w:val="445A1933"/>
    <w:rsid w:val="44D97C83"/>
    <w:rsid w:val="466C6450"/>
    <w:rsid w:val="468B2036"/>
    <w:rsid w:val="49A11AA5"/>
    <w:rsid w:val="49AC5F6D"/>
    <w:rsid w:val="4B3D4760"/>
    <w:rsid w:val="4BFF76BB"/>
    <w:rsid w:val="4CC86B38"/>
    <w:rsid w:val="4D505D63"/>
    <w:rsid w:val="4F7D08F7"/>
    <w:rsid w:val="4FC27D66"/>
    <w:rsid w:val="501E4BFD"/>
    <w:rsid w:val="5026588C"/>
    <w:rsid w:val="50EC7AD0"/>
    <w:rsid w:val="50F209C0"/>
    <w:rsid w:val="517045AA"/>
    <w:rsid w:val="537539FA"/>
    <w:rsid w:val="53BE7672"/>
    <w:rsid w:val="544C02A1"/>
    <w:rsid w:val="5475139F"/>
    <w:rsid w:val="55706758"/>
    <w:rsid w:val="56282597"/>
    <w:rsid w:val="568A716F"/>
    <w:rsid w:val="574025B9"/>
    <w:rsid w:val="57FA4163"/>
    <w:rsid w:val="57FA7365"/>
    <w:rsid w:val="58085F1F"/>
    <w:rsid w:val="5955699E"/>
    <w:rsid w:val="59E35308"/>
    <w:rsid w:val="5A6003FD"/>
    <w:rsid w:val="5AA626CD"/>
    <w:rsid w:val="5BE85DEB"/>
    <w:rsid w:val="5BF55FED"/>
    <w:rsid w:val="5D2B4A71"/>
    <w:rsid w:val="5E001F71"/>
    <w:rsid w:val="5FA0576E"/>
    <w:rsid w:val="610872BF"/>
    <w:rsid w:val="610B0243"/>
    <w:rsid w:val="61164056"/>
    <w:rsid w:val="617F0FA7"/>
    <w:rsid w:val="63063799"/>
    <w:rsid w:val="63482777"/>
    <w:rsid w:val="64187EC6"/>
    <w:rsid w:val="64E7729A"/>
    <w:rsid w:val="65033E06"/>
    <w:rsid w:val="655D22B8"/>
    <w:rsid w:val="659628B6"/>
    <w:rsid w:val="65DB2D1C"/>
    <w:rsid w:val="65FD355F"/>
    <w:rsid w:val="66CA7430"/>
    <w:rsid w:val="67046310"/>
    <w:rsid w:val="67E027FB"/>
    <w:rsid w:val="67E85689"/>
    <w:rsid w:val="68321B14"/>
    <w:rsid w:val="685111CF"/>
    <w:rsid w:val="6984037F"/>
    <w:rsid w:val="69945EEE"/>
    <w:rsid w:val="6A0835C1"/>
    <w:rsid w:val="6A703DAE"/>
    <w:rsid w:val="6AA27A80"/>
    <w:rsid w:val="6CEC0BF2"/>
    <w:rsid w:val="6E3F503F"/>
    <w:rsid w:val="6E9F158A"/>
    <w:rsid w:val="6EF7128B"/>
    <w:rsid w:val="6F1D049B"/>
    <w:rsid w:val="6F346B52"/>
    <w:rsid w:val="70655672"/>
    <w:rsid w:val="70E64A50"/>
    <w:rsid w:val="71025253"/>
    <w:rsid w:val="7110138E"/>
    <w:rsid w:val="715401C5"/>
    <w:rsid w:val="71812947"/>
    <w:rsid w:val="718F75EE"/>
    <w:rsid w:val="7641097A"/>
    <w:rsid w:val="76FD6D8A"/>
    <w:rsid w:val="77000D49"/>
    <w:rsid w:val="771222E8"/>
    <w:rsid w:val="7712703F"/>
    <w:rsid w:val="77311518"/>
    <w:rsid w:val="77BC3CB3"/>
    <w:rsid w:val="78F244F2"/>
    <w:rsid w:val="79321F63"/>
    <w:rsid w:val="7AE451AC"/>
    <w:rsid w:val="7B146FC8"/>
    <w:rsid w:val="7BC9046A"/>
    <w:rsid w:val="7D204AD7"/>
    <w:rsid w:val="7D9447FA"/>
    <w:rsid w:val="7DBF335B"/>
    <w:rsid w:val="7DE128A3"/>
    <w:rsid w:val="7F117861"/>
    <w:rsid w:val="7F21220D"/>
    <w:rsid w:val="7FC40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1B706"/>
  <w15:docId w15:val="{C1B84BAA-2219-4120-937E-90F431549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TZ" w:eastAsia="en-T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78" w:lineRule="auto"/>
    </w:pPr>
    <w:rPr>
      <w:rFonts w:cstheme="minorBidi"/>
      <w:kern w:val="2"/>
      <w:sz w:val="24"/>
      <w:szCs w:val="24"/>
      <w:lang w:val="en-US"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eastAsiaTheme="majorEastAsia" w:cstheme="majorBidi"/>
      <w:b/>
      <w:szCs w:val="32"/>
    </w:rPr>
  </w:style>
  <w:style w:type="paragraph" w:styleId="Heading3">
    <w:name w:val="heading 3"/>
    <w:basedOn w:val="Normal"/>
    <w:next w:val="Normal"/>
    <w:link w:val="Heading3Char"/>
    <w:uiPriority w:val="9"/>
    <w:unhideWhenUsed/>
    <w:qFormat/>
    <w:pPr>
      <w:keepNext/>
      <w:keepLines/>
      <w:outlineLvl w:val="2"/>
    </w:pPr>
    <w:rPr>
      <w:rFonts w:eastAsiaTheme="majorEastAsia" w:cstheme="majorBidi"/>
      <w:i/>
      <w:color w:val="000000" w:themeColor="text1"/>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Caption">
    <w:name w:val="caption"/>
    <w:basedOn w:val="Normal"/>
    <w:next w:val="Normal"/>
    <w:uiPriority w:val="35"/>
    <w:unhideWhenUsed/>
    <w:qFormat/>
    <w:pPr>
      <w:spacing w:after="200" w:line="240" w:lineRule="auto"/>
      <w:jc w:val="both"/>
    </w:pPr>
    <w:rPr>
      <w:iCs/>
      <w:kern w:val="0"/>
      <w:szCs w:val="18"/>
      <w14:ligatures w14:val="none"/>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rFonts w:ascii="Times New Roman" w:hAnsi="Times New Roman"/>
      <w:color w:val="404040" w:themeColor="text1" w:themeTint="BF"/>
      <w:sz w:val="22"/>
    </w:rPr>
  </w:style>
  <w:style w:type="character" w:styleId="FollowedHyperlink">
    <w:name w:val="FollowedHyperlink"/>
    <w:basedOn w:val="DefaultParagraphFont"/>
    <w:uiPriority w:val="99"/>
    <w:semiHidden/>
    <w:unhideWhenUsed/>
    <w:qFormat/>
    <w:rPr>
      <w:color w:val="800080"/>
      <w:u w:val="single"/>
    </w:rPr>
  </w:style>
  <w:style w:type="paragraph" w:styleId="Footer">
    <w:name w:val="footer"/>
    <w:basedOn w:val="Normal"/>
    <w:link w:val="FooterChar"/>
    <w:uiPriority w:val="99"/>
    <w:unhideWhenUsed/>
    <w:qFormat/>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Hyperlink">
    <w:name w:val="Hyperlink"/>
    <w:basedOn w:val="DefaultParagraphFont"/>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line="240" w:lineRule="auto"/>
    </w:pPr>
    <w:rPr>
      <w:rFonts w:eastAsia="Times New Roman" w:cs="Times New Roman"/>
      <w:kern w:val="0"/>
      <w14:ligatures w14:val="none"/>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qFormat/>
    <w:rPr>
      <w:rFonts w:eastAsiaTheme="majorEastAsia" w:cstheme="majorBidi"/>
      <w:b/>
      <w:kern w:val="2"/>
      <w:sz w:val="24"/>
      <w:szCs w:val="32"/>
      <w:lang w:val="en-GB" w:eastAsia="en-US"/>
      <w14:ligatures w14:val="standardContextual"/>
    </w:rPr>
  </w:style>
  <w:style w:type="character" w:customStyle="1" w:styleId="Heading3Char">
    <w:name w:val="Heading 3 Char"/>
    <w:basedOn w:val="DefaultParagraphFont"/>
    <w:link w:val="Heading3"/>
    <w:uiPriority w:val="9"/>
    <w:qFormat/>
    <w:rPr>
      <w:rFonts w:eastAsiaTheme="majorEastAsia" w:cstheme="majorBidi"/>
      <w:i/>
      <w:color w:val="000000" w:themeColor="text1"/>
      <w:kern w:val="2"/>
      <w:sz w:val="24"/>
      <w:szCs w:val="28"/>
      <w:lang w:val="en-GB" w:eastAsia="en-US"/>
      <w14:ligatures w14:val="standardContextual"/>
    </w:rPr>
  </w:style>
  <w:style w:type="character" w:customStyle="1" w:styleId="Heading4Char">
    <w:name w:val="Heading 4 Char"/>
    <w:basedOn w:val="DefaultParagraphFont"/>
    <w:link w:val="Heading4"/>
    <w:uiPriority w:val="9"/>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qFormat/>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qFormat/>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710F"/>
    <w:pPr>
      <w:spacing w:before="0" w:after="0"/>
      <w:ind w:left="397" w:right="397"/>
      <w:contextualSpacing/>
    </w:pPr>
    <w:rPr>
      <w:iCs/>
      <w:color w:val="000000" w:themeColor="text1"/>
      <w:sz w:val="20"/>
      <w14:textFill>
        <w14:solidFill>
          <w14:schemeClr w14:val="tx1">
            <w14:lumMod w14:val="95000"/>
            <w14:lumOff w14:val="5000"/>
            <w14:lumMod w14:val="75000"/>
            <w14:lumOff w14:val="25000"/>
          </w14:schemeClr>
        </w14:solidFill>
      </w14:textFill>
    </w:rPr>
  </w:style>
  <w:style w:type="character" w:customStyle="1" w:styleId="QuoteChar">
    <w:name w:val="Quote Char"/>
    <w:basedOn w:val="DefaultParagraphFont"/>
    <w:link w:val="Quote"/>
    <w:uiPriority w:val="29"/>
    <w:qFormat/>
    <w:rsid w:val="00F1710F"/>
    <w:rPr>
      <w:rFonts w:cstheme="minorBidi"/>
      <w:iCs/>
      <w:color w:val="000000" w:themeColor="text1"/>
      <w:kern w:val="2"/>
      <w:szCs w:val="24"/>
      <w:lang w:val="en-GB" w:eastAsia="en-US"/>
      <w14:textFill>
        <w14:solidFill>
          <w14:schemeClr w14:val="tx1">
            <w14:lumMod w14:val="95000"/>
            <w14:lumOff w14:val="5000"/>
            <w14:lumMod w14:val="75000"/>
            <w14:lumOff w14:val="25000"/>
          </w14:schemeClr>
        </w14:solidFill>
      </w14:textFill>
      <w14:ligatures w14:val="standardContextual"/>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qFormat/>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character" w:customStyle="1" w:styleId="CommentTextChar">
    <w:name w:val="Comment Text Char"/>
    <w:basedOn w:val="DefaultParagraphFont"/>
    <w:link w:val="CommentText"/>
    <w:uiPriority w:val="99"/>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customStyle="1" w:styleId="Default">
    <w:name w:val="Default"/>
    <w:qFormat/>
    <w:pPr>
      <w:autoSpaceDE w:val="0"/>
      <w:autoSpaceDN w:val="0"/>
      <w:adjustRightInd w:val="0"/>
    </w:pPr>
    <w:rPr>
      <w:rFonts w:ascii="Charis SIL" w:hAnsi="Charis SIL" w:cs="Charis SIL"/>
      <w:color w:val="000000"/>
      <w:sz w:val="24"/>
      <w:szCs w:val="24"/>
      <w:lang w:val="en-US" w:eastAsia="en-US"/>
      <w14:ligatures w14:val="standardContextual"/>
    </w:rPr>
  </w:style>
  <w:style w:type="paragraph" w:customStyle="1" w:styleId="Revision1">
    <w:name w:val="Revision1"/>
    <w:hidden/>
    <w:uiPriority w:val="99"/>
    <w:semiHidden/>
    <w:qFormat/>
    <w:rPr>
      <w:rFonts w:asciiTheme="minorHAnsi" w:hAnsiTheme="minorHAnsi" w:cstheme="minorBidi"/>
      <w:kern w:val="2"/>
      <w:sz w:val="24"/>
      <w:szCs w:val="24"/>
      <w:lang w:val="en-GB" w:eastAsia="en-US"/>
      <w14:ligatures w14:val="standardContextual"/>
    </w:rPr>
  </w:style>
  <w:style w:type="character" w:customStyle="1" w:styleId="fadeinm1hgl8">
    <w:name w:val="_fadein_m1hgl_8"/>
    <w:basedOn w:val="DefaultParagraphFont"/>
    <w:qFormat/>
  </w:style>
  <w:style w:type="character" w:customStyle="1" w:styleId="SubtleEmphasis1">
    <w:name w:val="Subtle Emphasis1"/>
    <w:basedOn w:val="DefaultParagraphFont"/>
    <w:uiPriority w:val="19"/>
    <w:qFormat/>
    <w:rPr>
      <w:i/>
      <w:iCs/>
      <w:color w:val="404040" w:themeColor="text1" w:themeTint="BF"/>
    </w:rPr>
  </w:style>
  <w:style w:type="paragraph" w:customStyle="1" w:styleId="RespondentsQuote">
    <w:name w:val="Respondents Quote"/>
    <w:basedOn w:val="Normal"/>
    <w:link w:val="RespondentsQuoteChar"/>
    <w:qFormat/>
    <w:pPr>
      <w:spacing w:before="0" w:after="0"/>
      <w:ind w:left="397" w:right="397"/>
    </w:pPr>
    <w:rPr>
      <w:sz w:val="20"/>
      <w:lang w:val="zh-CN"/>
    </w:rPr>
  </w:style>
  <w:style w:type="character" w:customStyle="1" w:styleId="RespondentsQuoteChar">
    <w:name w:val="Respondents Quote Char"/>
    <w:basedOn w:val="DefaultParagraphFont"/>
    <w:link w:val="RespondentsQuote"/>
    <w:qFormat/>
    <w:rPr>
      <w:rFonts w:cstheme="minorBidi"/>
      <w:kern w:val="2"/>
      <w:szCs w:val="24"/>
      <w:lang w:eastAsia="en-US"/>
      <w14:ligatures w14:val="standardContextual"/>
    </w:rPr>
  </w:style>
  <w:style w:type="character" w:styleId="UnresolvedMention">
    <w:name w:val="Unresolved Mention"/>
    <w:basedOn w:val="DefaultParagraphFont"/>
    <w:uiPriority w:val="99"/>
    <w:semiHidden/>
    <w:unhideWhenUsed/>
    <w:rsid w:val="00FC3F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doi.org/10.18697/ajfand.135.24245" TargetMode="External"/><Relationship Id="rId18" Type="http://schemas.openxmlformats.org/officeDocument/2006/relationships/hyperlink" Target="https://doi.org/10.3389/frsus.2024.1321499" TargetMode="External"/><Relationship Id="rId26" Type="http://schemas.openxmlformats.org/officeDocument/2006/relationships/hyperlink" Target="https://doi.org/10.1142/S1084946711001732" TargetMode="External"/><Relationship Id="rId3" Type="http://schemas.openxmlformats.org/officeDocument/2006/relationships/styles" Target="styles.xml"/><Relationship Id="rId21" Type="http://schemas.openxmlformats.org/officeDocument/2006/relationships/hyperlink" Target="https://doi.org/10.1371/journal.pone.0232076" TargetMode="External"/><Relationship Id="rId7" Type="http://schemas.openxmlformats.org/officeDocument/2006/relationships/endnotes" Target="endnotes.xml"/><Relationship Id="rId12" Type="http://schemas.openxmlformats.org/officeDocument/2006/relationships/hyperlink" Target="https://doi.org/10.36072/wp.25" TargetMode="External"/><Relationship Id="rId17" Type="http://schemas.openxmlformats.org/officeDocument/2006/relationships/hyperlink" Target="https://doi.org/10.1016/j.habitatint.2022.102620" TargetMode="External"/><Relationship Id="rId25" Type="http://schemas.openxmlformats.org/officeDocument/2006/relationships/hyperlink" Target="https://doi.org/10.1016/j.jrurstud.2017.10.014"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389/fsufs.2024.1382383" TargetMode="External"/><Relationship Id="rId20" Type="http://schemas.openxmlformats.org/officeDocument/2006/relationships/hyperlink" Target="https://doi.org/10.1016/j.foodpol.2020.101997" TargetMode="External"/><Relationship Id="rId29" Type="http://schemas.openxmlformats.org/officeDocument/2006/relationships/hyperlink" Target="https://www.resakss.org/sites/default/files/2023_ator_individual_chapters/Chapter%209_ReSAKSS_AW_ATOR_202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hyperlink" Target="https://doi.org/10.3389/fpubh.2022.849059"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rxiv.org/abs/2505.07913" TargetMode="External"/><Relationship Id="rId23" Type="http://schemas.openxmlformats.org/officeDocument/2006/relationships/hyperlink" Target="https://doi.org/10.1016/S0305-750X(99)00096-0" TargetMode="External"/><Relationship Id="rId28" Type="http://schemas.openxmlformats.org/officeDocument/2006/relationships/hyperlink" Target="https://doi.org/10.1016/j.gfs.2023.100721" TargetMode="External"/><Relationship Id="rId10" Type="http://schemas.openxmlformats.org/officeDocument/2006/relationships/chart" Target="charts/chart1.xml"/><Relationship Id="rId19" Type="http://schemas.openxmlformats.org/officeDocument/2006/relationships/hyperlink" Target="https://doi.org/10.1016/j.jdeveco.2023.102946"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sdgs.un.org/sites/default/files/publications/2701theimpactofmarriageandchildrenonlabourmarketparticipationen.pdf" TargetMode="External"/><Relationship Id="rId22" Type="http://schemas.openxmlformats.org/officeDocument/2006/relationships/hyperlink" Target="https://doi.org/10.1186/s40497-017-0076-0" TargetMode="External"/><Relationship Id="rId27" Type="http://schemas.openxmlformats.org/officeDocument/2006/relationships/hyperlink" Target="https://doi.org/10.1080/23311886.2019.1656383" TargetMode="External"/><Relationship Id="rId30" Type="http://schemas.openxmlformats.org/officeDocument/2006/relationships/hyperlink" Target="https://doi.org/10.1080/08985626.2018.1551792" TargetMode="External"/><Relationship Id="rId8"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ge98bit\Documents\AERC_March2023\Papers\Paper2\Analysis\Results_Paper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ge98bit\Documents\AERC_March2023\Papers\Paper2\Analysis\Results_Paper2.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100" b="0" i="0" u="none" strike="noStrike" kern="1200" cap="none" spc="0" normalizeH="0" baseline="0">
                <a:solidFill>
                  <a:schemeClr val="tx1"/>
                </a:solidFill>
                <a:latin typeface="Times New Roman" panose="02020603050405020304" pitchFamily="18" charset="0"/>
                <a:ea typeface="+mj-ea"/>
                <a:cs typeface="Times New Roman" panose="02020603050405020304" pitchFamily="18" charset="0"/>
              </a:defRPr>
            </a:pPr>
            <a:r>
              <a:rPr lang="en-GB" sz="1100" b="0" i="0" u="none" strike="noStrike" cap="none" normalizeH="0" baseline="0">
                <a:solidFill>
                  <a:schemeClr val="tx1"/>
                </a:solidFill>
                <a:effectLst/>
                <a:latin typeface="Times New Roman" panose="02020603050405020304" pitchFamily="18" charset="0"/>
                <a:cs typeface="Times New Roman" panose="02020603050405020304" pitchFamily="18" charset="0"/>
              </a:rPr>
              <a:t>Number of WFMs that the Vendor participates</a:t>
            </a:r>
            <a:endParaRPr lang="en-GB" sz="11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lang="en-US" sz="1100" b="0" i="0" u="none" strike="noStrike" kern="1200" cap="none" spc="0" normalizeH="0" baseline="0">
              <a:solidFill>
                <a:schemeClr val="tx1"/>
              </a:solidFill>
              <a:latin typeface="Times New Roman" panose="02020603050405020304" pitchFamily="18" charset="0"/>
              <a:ea typeface="+mj-ea"/>
              <a:cs typeface="Times New Roman" panose="02020603050405020304" pitchFamily="18" charset="0"/>
            </a:defRPr>
          </a:pPr>
          <a:endParaRPr lang="en-GB"/>
        </a:p>
      </c:txPr>
    </c:title>
    <c:autoTitleDeleted val="0"/>
    <c:plotArea>
      <c:layout/>
      <c:barChart>
        <c:barDir val="bar"/>
        <c:grouping val="stacked"/>
        <c:varyColors val="0"/>
        <c:ser>
          <c:idx val="0"/>
          <c:order val="0"/>
          <c:tx>
            <c:strRef>
              <c:f>Sheet1!$C$69</c:f>
              <c:strCache>
                <c:ptCount val="1"/>
                <c:pt idx="0">
                  <c:v>Female</c:v>
                </c:pt>
              </c:strCache>
            </c:strRef>
          </c:tx>
          <c:spPr>
            <a:solidFill>
              <a:schemeClr val="tx1">
                <a:lumMod val="65000"/>
                <a:lumOff val="35000"/>
              </a:schemeClr>
            </a:solidFill>
            <a:ln>
              <a:noFill/>
            </a:ln>
            <a:effectLst/>
            <a:sp3d/>
          </c:spPr>
          <c:invertIfNegative val="0"/>
          <c:cat>
            <c:strRef>
              <c:f>Sheet1!$B$70:$B$76</c:f>
              <c:strCache>
                <c:ptCount val="7"/>
                <c:pt idx="0">
                  <c:v>One </c:v>
                </c:pt>
                <c:pt idx="1">
                  <c:v>Two</c:v>
                </c:pt>
                <c:pt idx="2">
                  <c:v>Three</c:v>
                </c:pt>
                <c:pt idx="3">
                  <c:v>Four</c:v>
                </c:pt>
                <c:pt idx="4">
                  <c:v>Five</c:v>
                </c:pt>
                <c:pt idx="5">
                  <c:v>Six</c:v>
                </c:pt>
                <c:pt idx="6">
                  <c:v>Seven</c:v>
                </c:pt>
              </c:strCache>
            </c:strRef>
          </c:cat>
          <c:val>
            <c:numRef>
              <c:f>Sheet1!$C$70:$C$76</c:f>
              <c:numCache>
                <c:formatCode>General</c:formatCode>
                <c:ptCount val="7"/>
                <c:pt idx="0">
                  <c:v>32</c:v>
                </c:pt>
                <c:pt idx="1">
                  <c:v>13</c:v>
                </c:pt>
                <c:pt idx="2">
                  <c:v>30</c:v>
                </c:pt>
                <c:pt idx="3">
                  <c:v>56</c:v>
                </c:pt>
                <c:pt idx="4">
                  <c:v>41</c:v>
                </c:pt>
                <c:pt idx="5">
                  <c:v>26</c:v>
                </c:pt>
                <c:pt idx="6">
                  <c:v>12</c:v>
                </c:pt>
              </c:numCache>
            </c:numRef>
          </c:val>
          <c:extLst>
            <c:ext xmlns:c16="http://schemas.microsoft.com/office/drawing/2014/chart" uri="{C3380CC4-5D6E-409C-BE32-E72D297353CC}">
              <c16:uniqueId val="{00000000-9F1A-4004-AD0E-4150D2D335E4}"/>
            </c:ext>
          </c:extLst>
        </c:ser>
        <c:ser>
          <c:idx val="1"/>
          <c:order val="1"/>
          <c:tx>
            <c:strRef>
              <c:f>Sheet1!$D$69</c:f>
              <c:strCache>
                <c:ptCount val="1"/>
                <c:pt idx="0">
                  <c:v>Male</c:v>
                </c:pt>
              </c:strCache>
            </c:strRef>
          </c:tx>
          <c:spPr>
            <a:solidFill>
              <a:schemeClr val="bg2">
                <a:lumMod val="90000"/>
              </a:schemeClr>
            </a:solidFill>
            <a:ln>
              <a:noFill/>
            </a:ln>
            <a:effectLst/>
            <a:sp3d/>
          </c:spPr>
          <c:invertIfNegative val="0"/>
          <c:cat>
            <c:strRef>
              <c:f>Sheet1!$B$70:$B$76</c:f>
              <c:strCache>
                <c:ptCount val="7"/>
                <c:pt idx="0">
                  <c:v>One </c:v>
                </c:pt>
                <c:pt idx="1">
                  <c:v>Two</c:v>
                </c:pt>
                <c:pt idx="2">
                  <c:v>Three</c:v>
                </c:pt>
                <c:pt idx="3">
                  <c:v>Four</c:v>
                </c:pt>
                <c:pt idx="4">
                  <c:v>Five</c:v>
                </c:pt>
                <c:pt idx="5">
                  <c:v>Six</c:v>
                </c:pt>
                <c:pt idx="6">
                  <c:v>Seven</c:v>
                </c:pt>
              </c:strCache>
            </c:strRef>
          </c:cat>
          <c:val>
            <c:numRef>
              <c:f>Sheet1!$D$70:$D$76</c:f>
              <c:numCache>
                <c:formatCode>General</c:formatCode>
                <c:ptCount val="7"/>
                <c:pt idx="0">
                  <c:v>35</c:v>
                </c:pt>
                <c:pt idx="1">
                  <c:v>8</c:v>
                </c:pt>
                <c:pt idx="2">
                  <c:v>12</c:v>
                </c:pt>
                <c:pt idx="3">
                  <c:v>25</c:v>
                </c:pt>
                <c:pt idx="4">
                  <c:v>29</c:v>
                </c:pt>
                <c:pt idx="5">
                  <c:v>34</c:v>
                </c:pt>
                <c:pt idx="6">
                  <c:v>28</c:v>
                </c:pt>
              </c:numCache>
            </c:numRef>
          </c:val>
          <c:extLst>
            <c:ext xmlns:c16="http://schemas.microsoft.com/office/drawing/2014/chart" uri="{C3380CC4-5D6E-409C-BE32-E72D297353CC}">
              <c16:uniqueId val="{00000001-9F1A-4004-AD0E-4150D2D335E4}"/>
            </c:ext>
          </c:extLst>
        </c:ser>
        <c:dLbls>
          <c:showLegendKey val="0"/>
          <c:showVal val="0"/>
          <c:showCatName val="0"/>
          <c:showSerName val="0"/>
          <c:showPercent val="0"/>
          <c:showBubbleSize val="0"/>
        </c:dLbls>
        <c:gapWidth val="50"/>
        <c:overlap val="100"/>
        <c:axId val="1637574943"/>
        <c:axId val="1637583263"/>
      </c:barChart>
      <c:catAx>
        <c:axId val="1637574943"/>
        <c:scaling>
          <c:orientation val="minMax"/>
        </c:scaling>
        <c:delete val="0"/>
        <c:axPos val="l"/>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lang="en-US" sz="900" b="0" i="0" u="none" strike="noStrike" kern="1200" cap="none" spc="0" normalizeH="0" baseline="0">
                <a:solidFill>
                  <a:sysClr val="windowText" lastClr="000000"/>
                </a:solidFill>
                <a:latin typeface="Times New Roman" panose="02020603050405020304" charset="0"/>
                <a:ea typeface="+mn-ea"/>
                <a:cs typeface="Times New Roman" panose="02020603050405020304" charset="0"/>
              </a:defRPr>
            </a:pPr>
            <a:endParaRPr lang="en-TZ"/>
          </a:p>
        </c:txPr>
        <c:crossAx val="1637583263"/>
        <c:crosses val="autoZero"/>
        <c:auto val="1"/>
        <c:lblAlgn val="ctr"/>
        <c:lblOffset val="100"/>
        <c:noMultiLvlLbl val="0"/>
      </c:catAx>
      <c:valAx>
        <c:axId val="1637583263"/>
        <c:scaling>
          <c:orientation val="minMax"/>
        </c:scaling>
        <c:delete val="0"/>
        <c:axPos val="b"/>
        <c:majorGridlines>
          <c:spPr>
            <a:ln w="9525" cap="flat" cmpd="sng" algn="ctr">
              <a:noFill/>
              <a:round/>
            </a:ln>
            <a:effectLst/>
          </c:spPr>
        </c:majorGridlines>
        <c:numFmt formatCode="General"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TZ"/>
          </a:p>
        </c:txPr>
        <c:crossAx val="1637574943"/>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lang="en-US" sz="900" b="0" i="0" u="none" strike="noStrike" kern="1200" baseline="0">
              <a:solidFill>
                <a:sysClr val="windowText" lastClr="000000"/>
              </a:solidFill>
              <a:latin typeface="Times New Roman" panose="02020603050405020304" charset="0"/>
              <a:ea typeface="+mn-ea"/>
              <a:cs typeface="Times New Roman" panose="02020603050405020304" charset="0"/>
            </a:defRPr>
          </a:pPr>
          <a:endParaRPr lang="en-TZ"/>
        </a:p>
      </c:txPr>
    </c:legend>
    <c:plotVisOnly val="1"/>
    <c:dispBlanksAs val="gap"/>
    <c:showDLblsOverMax val="0"/>
    <c:extLst>
      <c:ext uri="{0b15fc19-7d7d-44ad-8c2d-2c3a37ce22c3}">
        <chartProps xmlns="https://web.wps.cn/et/2018/main" chartId="{a0c3f4b1-b23b-433e-ad14-8718c7793d44}"/>
      </c:ext>
    </c:extLst>
  </c:chart>
  <c:spPr>
    <a:solidFill>
      <a:schemeClr val="bg1"/>
    </a:solidFill>
    <a:ln w="9525" cap="flat" cmpd="sng" algn="ctr">
      <a:solidFill>
        <a:schemeClr val="tx1"/>
      </a:solidFill>
      <a:round/>
    </a:ln>
    <a:effectLst/>
  </c:spPr>
  <c:txPr>
    <a:bodyPr/>
    <a:lstStyle/>
    <a:p>
      <a:pPr>
        <a:defRPr lang="en-US"/>
      </a:pPr>
      <a:endParaRPr lang="en-TZ"/>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080" b="0" i="0" u="none" strike="noStrike" kern="1200" spc="0" baseline="0">
                <a:solidFill>
                  <a:schemeClr val="tx1"/>
                </a:solidFill>
                <a:latin typeface="Times New Roman" panose="02020603050405020304" charset="0"/>
                <a:ea typeface="+mn-ea"/>
                <a:cs typeface="Times New Roman" panose="02020603050405020304" charset="0"/>
              </a:defRPr>
            </a:pPr>
            <a:r>
              <a:rPr lang="en-GB" sz="1080" b="0" i="0" u="none" strike="noStrike" baseline="0">
                <a:solidFill>
                  <a:schemeClr val="tx1"/>
                </a:solidFill>
                <a:effectLst/>
              </a:rPr>
              <a:t>Percentage of vendors by gender across municipalities</a:t>
            </a:r>
            <a:endParaRPr lang="en-GB">
              <a:solidFill>
                <a:schemeClr val="tx1"/>
              </a:solidFill>
            </a:endParaRPr>
          </a:p>
        </c:rich>
      </c:tx>
      <c:overlay val="0"/>
      <c:spPr>
        <a:noFill/>
        <a:ln>
          <a:noFill/>
        </a:ln>
        <a:effectLst/>
      </c:spPr>
      <c:txPr>
        <a:bodyPr rot="0" spcFirstLastPara="1" vertOverflow="ellipsis" vert="horz" wrap="square" anchor="ctr" anchorCtr="1"/>
        <a:lstStyle/>
        <a:p>
          <a:pPr>
            <a:defRPr lang="en-US" sz="1080" b="0" i="0" u="none" strike="noStrike" kern="1200" spc="0" baseline="0">
              <a:solidFill>
                <a:schemeClr val="tx1"/>
              </a:solidFill>
              <a:latin typeface="Times New Roman" panose="02020603050405020304" charset="0"/>
              <a:ea typeface="+mn-ea"/>
              <a:cs typeface="Times New Roman" panose="02020603050405020304" charset="0"/>
            </a:defRPr>
          </a:pPr>
          <a:endParaRPr lang="en-GB"/>
        </a:p>
      </c:txPr>
    </c:title>
    <c:autoTitleDeleted val="0"/>
    <c:plotArea>
      <c:layout/>
      <c:barChart>
        <c:barDir val="bar"/>
        <c:grouping val="clustered"/>
        <c:varyColors val="0"/>
        <c:ser>
          <c:idx val="0"/>
          <c:order val="0"/>
          <c:tx>
            <c:strRef>
              <c:f>Sheet1!$G$3</c:f>
              <c:strCache>
                <c:ptCount val="1"/>
                <c:pt idx="0">
                  <c:v>Female</c:v>
                </c:pt>
              </c:strCache>
            </c:strRef>
          </c:tx>
          <c:spPr>
            <a:solidFill>
              <a:schemeClr val="bg2">
                <a:lumMod val="90000"/>
              </a:schemeClr>
            </a:solidFill>
            <a:ln>
              <a:solidFill>
                <a:schemeClr val="bg1"/>
              </a:solidFill>
            </a:ln>
            <a:effectLst/>
          </c:spPr>
          <c:invertIfNegative val="0"/>
          <c:cat>
            <c:strRef>
              <c:f>Sheet1!$F$4:$F$8</c:f>
              <c:strCache>
                <c:ptCount val="5"/>
                <c:pt idx="0">
                  <c:v>Ilala</c:v>
                </c:pt>
                <c:pt idx="1">
                  <c:v>Kigamboni</c:v>
                </c:pt>
                <c:pt idx="2">
                  <c:v>Kinondoni</c:v>
                </c:pt>
                <c:pt idx="3">
                  <c:v>Temeke</c:v>
                </c:pt>
                <c:pt idx="4">
                  <c:v>Ubungo</c:v>
                </c:pt>
              </c:strCache>
            </c:strRef>
          </c:cat>
          <c:val>
            <c:numRef>
              <c:f>Sheet1!$G$4:$G$8</c:f>
              <c:numCache>
                <c:formatCode>0%</c:formatCode>
                <c:ptCount val="5"/>
                <c:pt idx="0">
                  <c:v>0.51315789473684204</c:v>
                </c:pt>
                <c:pt idx="1">
                  <c:v>0.58333333333333304</c:v>
                </c:pt>
                <c:pt idx="2">
                  <c:v>0.623529411764706</c:v>
                </c:pt>
                <c:pt idx="3">
                  <c:v>0.434782608695652</c:v>
                </c:pt>
                <c:pt idx="4">
                  <c:v>0.63157894736842102</c:v>
                </c:pt>
              </c:numCache>
            </c:numRef>
          </c:val>
          <c:extLst>
            <c:ext xmlns:c16="http://schemas.microsoft.com/office/drawing/2014/chart" uri="{C3380CC4-5D6E-409C-BE32-E72D297353CC}">
              <c16:uniqueId val="{00000000-7BD1-4265-9E1E-0B92BC782E34}"/>
            </c:ext>
          </c:extLst>
        </c:ser>
        <c:ser>
          <c:idx val="1"/>
          <c:order val="1"/>
          <c:tx>
            <c:strRef>
              <c:f>Sheet1!$H$3</c:f>
              <c:strCache>
                <c:ptCount val="1"/>
                <c:pt idx="0">
                  <c:v>Male</c:v>
                </c:pt>
              </c:strCache>
            </c:strRef>
          </c:tx>
          <c:spPr>
            <a:solidFill>
              <a:schemeClr val="tx1">
                <a:lumMod val="65000"/>
                <a:lumOff val="35000"/>
              </a:schemeClr>
            </a:solidFill>
            <a:ln>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a:effectLst/>
          </c:spPr>
          <c:invertIfNegative val="0"/>
          <c:cat>
            <c:strRef>
              <c:f>Sheet1!$F$4:$F$8</c:f>
              <c:strCache>
                <c:ptCount val="5"/>
                <c:pt idx="0">
                  <c:v>Ilala</c:v>
                </c:pt>
                <c:pt idx="1">
                  <c:v>Kigamboni</c:v>
                </c:pt>
                <c:pt idx="2">
                  <c:v>Kinondoni</c:v>
                </c:pt>
                <c:pt idx="3">
                  <c:v>Temeke</c:v>
                </c:pt>
                <c:pt idx="4">
                  <c:v>Ubungo</c:v>
                </c:pt>
              </c:strCache>
            </c:strRef>
          </c:cat>
          <c:val>
            <c:numRef>
              <c:f>Sheet1!$H$4:$H$8</c:f>
              <c:numCache>
                <c:formatCode>0%</c:formatCode>
                <c:ptCount val="5"/>
                <c:pt idx="0">
                  <c:v>0.48684210526315802</c:v>
                </c:pt>
                <c:pt idx="1">
                  <c:v>0.41666666666666702</c:v>
                </c:pt>
                <c:pt idx="2">
                  <c:v>0.376470588235294</c:v>
                </c:pt>
                <c:pt idx="3">
                  <c:v>0.565217391304348</c:v>
                </c:pt>
                <c:pt idx="4">
                  <c:v>0.36842105263157898</c:v>
                </c:pt>
              </c:numCache>
            </c:numRef>
          </c:val>
          <c:extLst>
            <c:ext xmlns:c16="http://schemas.microsoft.com/office/drawing/2014/chart" uri="{C3380CC4-5D6E-409C-BE32-E72D297353CC}">
              <c16:uniqueId val="{00000001-7BD1-4265-9E1E-0B92BC782E34}"/>
            </c:ext>
          </c:extLst>
        </c:ser>
        <c:dLbls>
          <c:showLegendKey val="0"/>
          <c:showVal val="0"/>
          <c:showCatName val="0"/>
          <c:showSerName val="0"/>
          <c:showPercent val="0"/>
          <c:showBubbleSize val="0"/>
        </c:dLbls>
        <c:gapWidth val="30"/>
        <c:overlap val="-20"/>
        <c:axId val="1638900559"/>
        <c:axId val="1638887663"/>
      </c:barChart>
      <c:catAx>
        <c:axId val="1638900559"/>
        <c:scaling>
          <c:orientation val="minMax"/>
        </c:scaling>
        <c:delete val="0"/>
        <c:axPos val="l"/>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TZ"/>
          </a:p>
        </c:txPr>
        <c:crossAx val="1638887663"/>
        <c:crosses val="autoZero"/>
        <c:auto val="1"/>
        <c:lblAlgn val="ctr"/>
        <c:lblOffset val="100"/>
        <c:noMultiLvlLbl val="0"/>
      </c:catAx>
      <c:valAx>
        <c:axId val="1638887663"/>
        <c:scaling>
          <c:orientation val="minMax"/>
          <c:max val="1"/>
        </c:scaling>
        <c:delete val="0"/>
        <c:axPos val="b"/>
        <c:majorGridlines>
          <c:spPr>
            <a:ln w="9525" cap="flat" cmpd="sng" algn="ctr">
              <a:noFill/>
              <a:round/>
            </a:ln>
            <a:effectLst/>
          </c:spPr>
        </c:majorGridlines>
        <c:numFmt formatCode="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TZ"/>
          </a:p>
        </c:txPr>
        <c:crossAx val="1638900559"/>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charset="0"/>
              <a:ea typeface="+mn-ea"/>
              <a:cs typeface="Times New Roman" panose="02020603050405020304" charset="0"/>
            </a:defRPr>
          </a:pPr>
          <a:endParaRPr lang="en-TZ"/>
        </a:p>
      </c:txPr>
    </c:legend>
    <c:plotVisOnly val="1"/>
    <c:dispBlanksAs val="gap"/>
    <c:showDLblsOverMax val="0"/>
    <c:extLst>
      <c:ext uri="{0b15fc19-7d7d-44ad-8c2d-2c3a37ce22c3}">
        <chartProps xmlns="https://web.wps.cn/et/2018/main" chartId="{96ed7014-e336-4b65-b316-3fcf2a06c4e0}"/>
      </c:ext>
    </c:extLst>
  </c:chart>
  <c:spPr>
    <a:solidFill>
      <a:schemeClr val="bg1"/>
    </a:solidFill>
    <a:ln w="9525" cap="flat" cmpd="sng" algn="ctr">
      <a:solidFill>
        <a:schemeClr val="tx1"/>
      </a:solidFill>
      <a:round/>
    </a:ln>
    <a:effectLst/>
  </c:spPr>
  <c:txPr>
    <a:bodyPr/>
    <a:lstStyle/>
    <a:p>
      <a:pPr>
        <a:defRPr lang="en-US" sz="900">
          <a:latin typeface="Times New Roman" panose="02020603050405020304" charset="0"/>
          <a:cs typeface="Times New Roman" panose="02020603050405020304" charset="0"/>
        </a:defRPr>
      </a:pPr>
      <a:endParaRPr lang="en-TZ"/>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70514-8A8C-4C16-AA1A-64A2787BE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4311</TotalTime>
  <Pages>24</Pages>
  <Words>10484</Words>
  <Characters>59759</Characters>
  <Application>Microsoft Office Word</Application>
  <DocSecurity>0</DocSecurity>
  <Lines>497</Lines>
  <Paragraphs>140</Paragraphs>
  <ScaleCrop>false</ScaleCrop>
  <HeadingPairs>
    <vt:vector size="2" baseType="variant">
      <vt:variant>
        <vt:lpstr>Title</vt:lpstr>
      </vt:variant>
      <vt:variant>
        <vt:i4>1</vt:i4>
      </vt:variant>
    </vt:vector>
  </HeadingPairs>
  <TitlesOfParts>
    <vt:vector size="1" baseType="lpstr">
      <vt:lpstr/>
    </vt:vector>
  </TitlesOfParts>
  <Company>Leibniz-Rechenzentrum</Company>
  <LinksUpToDate>false</LinksUpToDate>
  <CharactersWithSpaces>70103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luitfred kissoly</cp:lastModifiedBy>
  <cp:revision>12</cp:revision>
  <dcterms:created xsi:type="dcterms:W3CDTF">2025-10-16T11:44:00Z</dcterms:created>
  <dcterms:modified xsi:type="dcterms:W3CDTF">2025-10-29T05:33:00Z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C20AB78582B54290A3D963921C32F097_13</vt:lpwstr>
  </property>
</Properties>
</file>