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38AF7" w14:textId="77777777" w:rsidR="002C73D0" w:rsidRDefault="00000000">
      <w:pPr>
        <w:pStyle w:val="NormalWeb"/>
        <w:spacing w:before="0" w:beforeAutospacing="0" w:after="120" w:afterAutospacing="0"/>
        <w:jc w:val="center"/>
        <w:rPr>
          <w:rStyle w:val="Strong"/>
          <w:rFonts w:ascii="Segoe UI" w:hAnsi="Segoe UI" w:cs="Segoe UI"/>
        </w:rPr>
      </w:pPr>
      <w:bookmarkStart w:id="0" w:name="_Hlk183670507"/>
      <w:r>
        <w:rPr>
          <w:rStyle w:val="Strong"/>
          <w:rFonts w:ascii="Segoe UI" w:hAnsi="Segoe UI" w:cs="Segoe UI"/>
        </w:rPr>
        <w:t>Gendered Patterns in Nutritious Food Consumption: Household Dynamics, Food Affordability, and Adaptive Strategies</w:t>
      </w:r>
    </w:p>
    <w:bookmarkEnd w:id="0"/>
    <w:p w14:paraId="44070D0F" w14:textId="77777777" w:rsidR="002C73D0" w:rsidRDefault="00000000">
      <w:pPr>
        <w:pStyle w:val="paragraph"/>
        <w:spacing w:before="0" w:beforeAutospacing="0" w:after="120" w:afterAutospacing="0"/>
        <w:jc w:val="center"/>
        <w:textAlignment w:val="baseline"/>
        <w:rPr>
          <w:rFonts w:ascii="Segoe UI" w:hAnsi="Segoe UI" w:cs="Segoe UI"/>
        </w:rPr>
      </w:pPr>
      <w:r>
        <w:rPr>
          <w:rStyle w:val="normaltextrun"/>
          <w:rFonts w:ascii="Segoe UI" w:hAnsi="Segoe UI" w:cs="Segoe UI"/>
        </w:rPr>
        <w:t>Martin J. Chegere</w:t>
      </w:r>
      <w:r>
        <w:rPr>
          <w:rStyle w:val="normaltextrun"/>
          <w:rFonts w:ascii="Segoe UI" w:hAnsi="Segoe UI" w:cs="Segoe UI"/>
          <w:vertAlign w:val="superscript"/>
        </w:rPr>
        <w:t>1</w:t>
      </w:r>
      <w:r>
        <w:rPr>
          <w:rStyle w:val="normaltextrun"/>
          <w:rFonts w:ascii="Segoe UI" w:hAnsi="Segoe UI" w:cs="Segoe UI"/>
        </w:rPr>
        <w:t>, Doris E. Macha</w:t>
      </w:r>
      <w:r>
        <w:rPr>
          <w:rStyle w:val="normaltextrun"/>
          <w:rFonts w:ascii="Segoe UI" w:hAnsi="Segoe UI" w:cs="Segoe UI"/>
          <w:vertAlign w:val="superscript"/>
        </w:rPr>
        <w:t>1</w:t>
      </w:r>
      <w:r>
        <w:rPr>
          <w:rStyle w:val="normaltextrun"/>
          <w:rFonts w:ascii="Segoe UI" w:hAnsi="Segoe UI" w:cs="Segoe UI"/>
        </w:rPr>
        <w:t>and Adeline Munuo</w:t>
      </w:r>
      <w:r>
        <w:rPr>
          <w:rStyle w:val="normaltextrun"/>
          <w:rFonts w:ascii="Segoe UI" w:hAnsi="Segoe UI" w:cs="Segoe UI"/>
          <w:vertAlign w:val="superscript"/>
        </w:rPr>
        <w:t>2</w:t>
      </w:r>
    </w:p>
    <w:p w14:paraId="5D8CBE81" w14:textId="77777777" w:rsidR="002C73D0" w:rsidRDefault="00000000">
      <w:pPr>
        <w:pStyle w:val="paragraph"/>
        <w:spacing w:before="0" w:beforeAutospacing="0" w:after="120" w:afterAutospacing="0"/>
        <w:jc w:val="center"/>
        <w:textAlignment w:val="baseline"/>
        <w:rPr>
          <w:rFonts w:ascii="Segoe UI" w:hAnsi="Segoe UI" w:cs="Segoe UI"/>
        </w:rPr>
      </w:pPr>
      <w:r>
        <w:rPr>
          <w:rStyle w:val="eop"/>
          <w:rFonts w:ascii="Segoe UI" w:hAnsi="Segoe UI" w:cs="Segoe UI"/>
        </w:rPr>
        <w:t> </w:t>
      </w:r>
    </w:p>
    <w:p w14:paraId="7B7554B2" w14:textId="77777777" w:rsidR="002C73D0" w:rsidRDefault="00000000">
      <w:pPr>
        <w:pStyle w:val="paragraph"/>
        <w:spacing w:before="0" w:beforeAutospacing="0" w:after="120" w:afterAutospacing="0"/>
        <w:jc w:val="center"/>
        <w:textAlignment w:val="baseline"/>
        <w:rPr>
          <w:rFonts w:ascii="Segoe UI" w:hAnsi="Segoe UI" w:cs="Segoe UI"/>
        </w:rPr>
      </w:pPr>
      <w:r>
        <w:rPr>
          <w:rStyle w:val="normaltextrun"/>
          <w:rFonts w:ascii="Segoe UI" w:hAnsi="Segoe UI" w:cs="Segoe UI"/>
          <w:i/>
          <w:iCs/>
          <w:vertAlign w:val="superscript"/>
        </w:rPr>
        <w:t>1</w:t>
      </w:r>
      <w:r>
        <w:rPr>
          <w:rStyle w:val="normaltextrun"/>
          <w:rFonts w:ascii="Segoe UI" w:hAnsi="Segoe UI" w:cs="Segoe UI"/>
          <w:i/>
          <w:iCs/>
        </w:rPr>
        <w:t>School of Economics-University of Dar es Salaam.</w:t>
      </w:r>
      <w:r>
        <w:rPr>
          <w:rStyle w:val="eop"/>
          <w:rFonts w:ascii="Segoe UI" w:hAnsi="Segoe UI" w:cs="Segoe UI"/>
        </w:rPr>
        <w:t> </w:t>
      </w:r>
    </w:p>
    <w:p w14:paraId="5F3F17D7" w14:textId="77777777" w:rsidR="002C73D0" w:rsidRDefault="00000000">
      <w:pPr>
        <w:pStyle w:val="paragraph"/>
        <w:spacing w:before="0" w:beforeAutospacing="0" w:after="120" w:afterAutospacing="0"/>
        <w:jc w:val="center"/>
        <w:textAlignment w:val="baseline"/>
        <w:rPr>
          <w:rFonts w:ascii="Segoe UI" w:hAnsi="Segoe UI" w:cs="Segoe UI"/>
        </w:rPr>
      </w:pPr>
      <w:r>
        <w:rPr>
          <w:rStyle w:val="normaltextrun"/>
          <w:rFonts w:ascii="Segoe UI" w:hAnsi="Segoe UI" w:cs="Segoe UI"/>
          <w:i/>
          <w:iCs/>
          <w:vertAlign w:val="superscript"/>
        </w:rPr>
        <w:t>2</w:t>
      </w:r>
      <w:r>
        <w:rPr>
          <w:rStyle w:val="normaltextrun"/>
          <w:rFonts w:ascii="Segoe UI" w:hAnsi="Segoe UI" w:cs="Segoe UI"/>
          <w:i/>
          <w:iCs/>
        </w:rPr>
        <w:t>Tanzania Food and Nutrition Centre</w:t>
      </w:r>
      <w:r>
        <w:rPr>
          <w:rStyle w:val="eop"/>
          <w:rFonts w:ascii="Segoe UI" w:hAnsi="Segoe UI" w:cs="Segoe UI"/>
        </w:rPr>
        <w:t> </w:t>
      </w:r>
    </w:p>
    <w:p w14:paraId="12827198" w14:textId="77777777" w:rsidR="002C73D0" w:rsidRDefault="00000000">
      <w:pPr>
        <w:pStyle w:val="Heading3"/>
        <w:spacing w:beforeAutospacing="0" w:after="120" w:afterAutospacing="0"/>
        <w:rPr>
          <w:rFonts w:ascii="Segoe UI" w:hAnsi="Segoe UI" w:cs="Segoe UI" w:hint="default"/>
        </w:rPr>
      </w:pPr>
      <w:r>
        <w:rPr>
          <w:rFonts w:ascii="Segoe UI" w:hAnsi="Segoe UI" w:cs="Segoe UI" w:hint="default"/>
        </w:rPr>
        <w:t>Abstract</w:t>
      </w:r>
    </w:p>
    <w:p w14:paraId="314C8992" w14:textId="107410F4" w:rsidR="002C73D0" w:rsidRDefault="00D427E9">
      <w:pPr>
        <w:pStyle w:val="NormalWeb"/>
        <w:spacing w:before="0" w:beforeAutospacing="0" w:after="120" w:afterAutospacing="0"/>
        <w:jc w:val="both"/>
        <w:rPr>
          <w:rFonts w:ascii="Segoe UI" w:hAnsi="Segoe UI" w:cs="Segoe UI"/>
        </w:rPr>
      </w:pPr>
      <w:r w:rsidRPr="00D427E9">
        <w:rPr>
          <w:rFonts w:ascii="Segoe UI" w:hAnsi="Segoe UI" w:cs="Segoe UI"/>
        </w:rPr>
        <w:t>This study explores gendered patterns in nutritious food consumption, with a particular focus on household dynamics, food affordability, and adaptive strategies in Tanzania. Motivated by the persistent gender disparities in access to nutritious food, the research examines how decision-making, budgeting, and perceptions of food prices differ between male- and female-headed households. Data were collected from 300 households across three regions in Tanzania, through surveys, focus group discussions, and in-depth interviews. The findings reveal that female-headed households face greater barriers to accessing nutritious foods, primarily due to income disparities and limited resources. Economic constraints exacerbate food insecurity, with price perceptions influencing food choices. While both male- and female-headed households reported shifting towards cheaper, less nutritious alternatives in response to rising food prices, female-headed households were more likely to experience negative impacts on dietary diversity. The study highlights the need for gender-sensitive nutrition policies that address economic and social barriers, promote equitable food access, and support women’s central role in household food security.</w:t>
      </w:r>
      <w:r>
        <w:rPr>
          <w:rFonts w:ascii="Segoe UI" w:hAnsi="Segoe UI" w:cs="Segoe UI"/>
        </w:rPr>
        <w:t xml:space="preserve"> This aligns with the UN Sustainable Development Goals, particularly Goal 2 (Zero Hunger) and Goal 5 (Gender Equality), highlighting the importance of equitable access to nutritious food for all households.</w:t>
      </w:r>
    </w:p>
    <w:p w14:paraId="6046661A" w14:textId="2239D08C" w:rsidR="002C73D0" w:rsidRDefault="00000000">
      <w:pPr>
        <w:spacing w:after="120" w:line="240" w:lineRule="auto"/>
        <w:rPr>
          <w:rFonts w:ascii="Segoe UI" w:hAnsi="Segoe UI" w:cs="Segoe UI"/>
          <w:sz w:val="24"/>
          <w:szCs w:val="24"/>
        </w:rPr>
      </w:pPr>
      <w:r>
        <w:rPr>
          <w:rStyle w:val="normaltextrun"/>
          <w:rFonts w:ascii="Segoe UI" w:hAnsi="Segoe UI" w:cs="Segoe UI"/>
          <w:b/>
          <w:bCs/>
          <w:sz w:val="24"/>
          <w:szCs w:val="24"/>
        </w:rPr>
        <w:t>Keywords</w:t>
      </w:r>
      <w:r>
        <w:rPr>
          <w:rStyle w:val="normaltextrun"/>
          <w:rFonts w:ascii="Segoe UI" w:hAnsi="Segoe UI" w:cs="Segoe UI"/>
          <w:sz w:val="24"/>
          <w:szCs w:val="24"/>
        </w:rPr>
        <w:t xml:space="preserve">: </w:t>
      </w:r>
      <w:r>
        <w:rPr>
          <w:rFonts w:ascii="Segoe UI" w:hAnsi="Segoe UI" w:cs="Segoe UI"/>
          <w:sz w:val="24"/>
          <w:szCs w:val="24"/>
        </w:rPr>
        <w:t xml:space="preserve">Gender Disparities, Nutritious </w:t>
      </w:r>
      <w:r w:rsidR="00FC13CA">
        <w:rPr>
          <w:rFonts w:ascii="Segoe UI" w:hAnsi="Segoe UI" w:cs="Segoe UI"/>
          <w:sz w:val="24"/>
          <w:szCs w:val="24"/>
        </w:rPr>
        <w:t>Foods, Food</w:t>
      </w:r>
      <w:r>
        <w:rPr>
          <w:rFonts w:ascii="Segoe UI" w:hAnsi="Segoe UI" w:cs="Segoe UI"/>
          <w:sz w:val="24"/>
          <w:szCs w:val="24"/>
        </w:rPr>
        <w:t xml:space="preserve"> Affordability, Dietary Choices, Adaptive Strategies, Sustainable Development Goals (SDGs)</w:t>
      </w:r>
    </w:p>
    <w:p w14:paraId="07C7D8E7" w14:textId="77777777" w:rsidR="002C73D0" w:rsidRDefault="002C73D0">
      <w:pPr>
        <w:spacing w:after="120" w:line="240" w:lineRule="auto"/>
        <w:rPr>
          <w:rFonts w:ascii="Segoe UI" w:hAnsi="Segoe UI" w:cs="Segoe UI"/>
          <w:sz w:val="24"/>
          <w:szCs w:val="24"/>
        </w:rPr>
      </w:pPr>
    </w:p>
    <w:p w14:paraId="18D8C726" w14:textId="574BA061" w:rsidR="002C73D0" w:rsidRDefault="00000000">
      <w:pPr>
        <w:spacing w:after="120" w:line="240" w:lineRule="auto"/>
        <w:rPr>
          <w:rFonts w:ascii="Segoe UI" w:hAnsi="Segoe UI"/>
          <w:sz w:val="24"/>
          <w:szCs w:val="24"/>
        </w:rPr>
      </w:pPr>
      <w:r>
        <w:rPr>
          <w:rFonts w:ascii="Segoe UI" w:hAnsi="Segoe UI" w:cs="Segoe UI"/>
          <w:b/>
          <w:bCs/>
          <w:sz w:val="24"/>
          <w:szCs w:val="24"/>
        </w:rPr>
        <w:t xml:space="preserve">JEL </w:t>
      </w:r>
      <w:r w:rsidR="00C31013">
        <w:rPr>
          <w:rFonts w:ascii="Segoe UI" w:hAnsi="Segoe UI" w:cs="Segoe UI"/>
          <w:b/>
          <w:bCs/>
          <w:sz w:val="24"/>
          <w:szCs w:val="24"/>
        </w:rPr>
        <w:t>Classification</w:t>
      </w:r>
      <w:r>
        <w:rPr>
          <w:rFonts w:ascii="Segoe UI" w:hAnsi="Segoe UI" w:cs="Segoe UI"/>
          <w:sz w:val="24"/>
          <w:szCs w:val="24"/>
        </w:rPr>
        <w:t xml:space="preserve">: </w:t>
      </w:r>
      <w:r>
        <w:rPr>
          <w:rFonts w:ascii="Segoe UI" w:hAnsi="Segoe UI"/>
          <w:sz w:val="24"/>
          <w:szCs w:val="24"/>
        </w:rPr>
        <w:t>I31, J16, D12, Q18, I12</w:t>
      </w:r>
    </w:p>
    <w:p w14:paraId="4F5CBD3E" w14:textId="77777777" w:rsidR="002C73D0" w:rsidRDefault="002C73D0">
      <w:pPr>
        <w:spacing w:after="120" w:line="240" w:lineRule="auto"/>
        <w:rPr>
          <w:rFonts w:ascii="Segoe UI" w:hAnsi="Segoe UI" w:cs="Segoe UI"/>
          <w:sz w:val="24"/>
          <w:szCs w:val="24"/>
        </w:rPr>
      </w:pPr>
    </w:p>
    <w:p w14:paraId="33D4D575" w14:textId="77777777" w:rsidR="002C73D0" w:rsidRDefault="00000000">
      <w:pPr>
        <w:spacing w:after="120" w:line="240" w:lineRule="auto"/>
        <w:rPr>
          <w:rFonts w:ascii="Segoe UI" w:eastAsia="SimSun" w:hAnsi="Segoe UI" w:cs="Segoe UI"/>
          <w:b/>
          <w:bCs/>
          <w:color w:val="0000FF"/>
          <w:sz w:val="24"/>
          <w:szCs w:val="24"/>
        </w:rPr>
      </w:pPr>
      <w:r>
        <w:rPr>
          <w:rFonts w:ascii="Segoe UI" w:eastAsia="SimSun" w:hAnsi="Segoe UI" w:cs="Segoe UI"/>
          <w:b/>
          <w:bCs/>
          <w:color w:val="0000FF"/>
          <w:sz w:val="24"/>
          <w:szCs w:val="24"/>
        </w:rPr>
        <w:br w:type="page"/>
      </w:r>
    </w:p>
    <w:p w14:paraId="070DAC7E" w14:textId="77777777" w:rsidR="002C73D0" w:rsidRDefault="00000000">
      <w:pPr>
        <w:pStyle w:val="Heading1"/>
        <w:numPr>
          <w:ilvl w:val="0"/>
          <w:numId w:val="1"/>
        </w:numPr>
        <w:spacing w:before="360" w:after="180" w:line="240" w:lineRule="auto"/>
        <w:rPr>
          <w:rFonts w:ascii="Segoe UI" w:hAnsi="Segoe UI" w:cs="Segoe UI"/>
          <w:color w:val="538135" w:themeColor="accent6" w:themeShade="BF"/>
          <w:sz w:val="32"/>
          <w:szCs w:val="32"/>
        </w:rPr>
      </w:pPr>
      <w:bookmarkStart w:id="1" w:name="_Hlk183670540"/>
      <w:r>
        <w:rPr>
          <w:rFonts w:ascii="Segoe UI" w:hAnsi="Segoe UI" w:cs="Segoe UI"/>
          <w:color w:val="538135" w:themeColor="accent6" w:themeShade="BF"/>
          <w:sz w:val="32"/>
          <w:szCs w:val="32"/>
        </w:rPr>
        <w:lastRenderedPageBreak/>
        <w:t>Introduction</w:t>
      </w:r>
    </w:p>
    <w:p w14:paraId="329F2016" w14:textId="77777777" w:rsidR="002C73D0" w:rsidRDefault="00000000">
      <w:pPr>
        <w:spacing w:line="260" w:lineRule="auto"/>
        <w:jc w:val="both"/>
        <w:rPr>
          <w:rFonts w:ascii="Segoe UI" w:hAnsi="Segoe UI" w:cs="Segoe UI"/>
          <w:sz w:val="24"/>
          <w:szCs w:val="24"/>
        </w:rPr>
      </w:pPr>
      <w:r>
        <w:rPr>
          <w:rFonts w:ascii="Segoe UI" w:hAnsi="Segoe UI" w:cs="Segoe UI"/>
          <w:sz w:val="24"/>
          <w:szCs w:val="24"/>
        </w:rPr>
        <w:t>Nutrition is a critical determinant of health, yet significant gender disparities in food consumption persist, influenced by household dynamics and economic pressures. Globally, food security is a pressing issue intricately linked to health outcomes and socio-economic factors. The United Nations Sustainable Development Goals (SDGs), particularly Goal 2 (Zero Hunger) and Goal 5 (Gender Equality), emphasize the need for equitable access to nutritious food, especially for marginalized groups, including women and female-headed households.</w:t>
      </w:r>
    </w:p>
    <w:p w14:paraId="1D9EBC51" w14:textId="27DBD905" w:rsidR="002C73D0" w:rsidRDefault="00000000">
      <w:pPr>
        <w:spacing w:line="260" w:lineRule="auto"/>
        <w:jc w:val="both"/>
        <w:rPr>
          <w:rFonts w:ascii="Segoe UI" w:hAnsi="Segoe UI" w:cs="Segoe UI"/>
          <w:sz w:val="24"/>
          <w:szCs w:val="24"/>
        </w:rPr>
      </w:pPr>
      <w:r>
        <w:rPr>
          <w:rFonts w:ascii="Segoe UI" w:hAnsi="Segoe UI" w:cs="Segoe UI"/>
          <w:sz w:val="24"/>
          <w:szCs w:val="24"/>
        </w:rPr>
        <w:t>In many societies, traditional gender roles dictate who decides what food is purchased and consumed, skewing the allocation of financial resources toward less nutritious options. This dynamic affects the overall quality of nutrition within households, as women and children frequently bear the brunt of inadequate food access, leading to distinct nutritional needs and priorities.</w:t>
      </w:r>
      <w:r w:rsidR="00472EA1" w:rsidRPr="00472EA1">
        <w:rPr>
          <w:rFonts w:ascii="Segoe UI" w:hAnsi="Segoe UI" w:cs="Segoe UI"/>
          <w:sz w:val="24"/>
          <w:szCs w:val="24"/>
        </w:rPr>
        <w:t xml:space="preserve"> Research shows that women, particularly female household heads or spouses, are typically responsible for food preparation, prioritizing healthier meals, yet they often face significant barriers to accessing nutritious food due to economic and logistical challenges (Lundh</w:t>
      </w:r>
      <w:r w:rsidR="00071521">
        <w:rPr>
          <w:rFonts w:ascii="Segoe UI" w:hAnsi="Segoe UI" w:cs="Segoe UI"/>
          <w:sz w:val="24"/>
          <w:szCs w:val="24"/>
        </w:rPr>
        <w:t>,</w:t>
      </w:r>
      <w:r w:rsidR="00472EA1" w:rsidRPr="00472EA1">
        <w:rPr>
          <w:rFonts w:ascii="Segoe UI" w:hAnsi="Segoe UI" w:cs="Segoe UI"/>
          <w:sz w:val="24"/>
          <w:szCs w:val="24"/>
        </w:rPr>
        <w:t xml:space="preserve"> 2022).</w:t>
      </w:r>
    </w:p>
    <w:p w14:paraId="352940F9" w14:textId="2052E3EC" w:rsidR="00472EA1" w:rsidRDefault="00472EA1">
      <w:pPr>
        <w:spacing w:line="260" w:lineRule="auto"/>
        <w:jc w:val="both"/>
        <w:rPr>
          <w:rFonts w:ascii="Segoe UI" w:hAnsi="Segoe UI" w:cs="Segoe UI"/>
          <w:sz w:val="24"/>
          <w:szCs w:val="24"/>
        </w:rPr>
      </w:pPr>
      <w:r w:rsidRPr="00472EA1">
        <w:rPr>
          <w:rFonts w:ascii="Segoe UI" w:hAnsi="Segoe UI" w:cs="Segoe UI"/>
          <w:sz w:val="24"/>
          <w:szCs w:val="24"/>
        </w:rPr>
        <w:t>A variety of factors exacerbate food insecurity and limit access to nutritious foods, including low incomes, rising food prices, limited access to markets, inefficiencies in food value chains, and inadequate infrastructure (Masters et al., 2018; Raghunathan et al., 2021; Ryckman et al., 2021; Bai et al., 2021; Headey et al., 2024). Although economic growth may increase wages, women continue to experience a disproportionate struggle with food affordability, due to persistent income disparities compared to men (Raghunathan et al., 2021). This issue is particularly evident in countries like Tanzania, where, despite improvements in agricultural production, food insecurity affects a significant portion of the population</w:t>
      </w:r>
      <w:r>
        <w:rPr>
          <w:rFonts w:ascii="Segoe UI" w:hAnsi="Segoe UI" w:cs="Segoe UI"/>
          <w:sz w:val="24"/>
          <w:szCs w:val="24"/>
        </w:rPr>
        <w:t xml:space="preserve"> (about 34%)</w:t>
      </w:r>
      <w:r w:rsidRPr="00472EA1">
        <w:rPr>
          <w:rFonts w:ascii="Segoe UI" w:hAnsi="Segoe UI" w:cs="Segoe UI"/>
          <w:sz w:val="24"/>
          <w:szCs w:val="24"/>
        </w:rPr>
        <w:t>, and stunting rates remain alarmingly high among children under five (UNICEF, 2019). Female-headed households in Tanzania often rely on informal markets and local food sources, limiting their access to diverse and nutritious options</w:t>
      </w:r>
      <w:r w:rsidR="00EB6A83">
        <w:rPr>
          <w:rFonts w:ascii="Segoe UI" w:hAnsi="Segoe UI" w:cs="Segoe UI"/>
          <w:sz w:val="24"/>
          <w:szCs w:val="24"/>
        </w:rPr>
        <w:t xml:space="preserve"> </w:t>
      </w:r>
      <w:r>
        <w:rPr>
          <w:rFonts w:ascii="Segoe UI" w:hAnsi="Segoe UI" w:cs="Segoe UI"/>
          <w:sz w:val="24"/>
          <w:szCs w:val="24"/>
        </w:rPr>
        <w:t>(FAO, 2023)</w:t>
      </w:r>
      <w:r w:rsidRPr="00472EA1">
        <w:rPr>
          <w:rFonts w:ascii="Segoe UI" w:hAnsi="Segoe UI" w:cs="Segoe UI"/>
          <w:sz w:val="24"/>
          <w:szCs w:val="24"/>
        </w:rPr>
        <w:t>.</w:t>
      </w:r>
    </w:p>
    <w:p w14:paraId="29D2BC79" w14:textId="77777777" w:rsidR="00EB6A83" w:rsidRPr="005E5DA0" w:rsidRDefault="00EB6A83" w:rsidP="00EB6A83">
      <w:pPr>
        <w:jc w:val="both"/>
        <w:rPr>
          <w:rFonts w:ascii="Segoe UI" w:hAnsi="Segoe UI" w:cs="Segoe UI"/>
          <w:sz w:val="24"/>
          <w:szCs w:val="24"/>
        </w:rPr>
      </w:pPr>
      <w:r w:rsidRPr="005E5DA0">
        <w:rPr>
          <w:rFonts w:ascii="Segoe UI" w:hAnsi="Segoe UI" w:cs="Segoe UI"/>
          <w:sz w:val="24"/>
          <w:szCs w:val="24"/>
        </w:rPr>
        <w:t>Moreover, perceptions of the high cost of nutritious foods further discourage households from purchasing healthier options. Many individuals believe that nutrient-dense foods are prohibitively expensive, leading them to opt for cheaper, less nutritious alternatives. This phenomenon is particularly pronounced among low-income families, who are constrained by tight budgets (Guan &amp; Wang, 2024; Headey et al., 2024; Masters et al., 2018). The impact of rising food prices is particularly harsh on women, as they face systemic inequalities in both income and employment opportunities. Single-parent households, especially those headed by women, experience higher rates of food insecurity compared to their male counterparts.</w:t>
      </w:r>
    </w:p>
    <w:p w14:paraId="44239BF4" w14:textId="77777777" w:rsidR="00C31013" w:rsidRDefault="00C31013">
      <w:pPr>
        <w:spacing w:line="260" w:lineRule="auto"/>
        <w:jc w:val="both"/>
        <w:rPr>
          <w:rFonts w:ascii="Segoe UI" w:hAnsi="Segoe UI" w:cs="Segoe UI"/>
          <w:sz w:val="24"/>
          <w:szCs w:val="24"/>
        </w:rPr>
      </w:pPr>
      <w:r w:rsidRPr="00C31013">
        <w:rPr>
          <w:rFonts w:ascii="Segoe UI" w:hAnsi="Segoe UI" w:cs="Segoe UI"/>
          <w:sz w:val="24"/>
          <w:szCs w:val="24"/>
        </w:rPr>
        <w:lastRenderedPageBreak/>
        <w:t>This study aims to explore gendered consumption patterns of nutritious foods, with a focus on decision-making, budget allocation, accessibility, and perceptions of food prices within households. By examining data collected through structured questionnaires, this research seeks to uncover the complex interplay of factors that shape dietary choices and the strategies employed by both men and women in response to food price variability and affordability challenges.</w:t>
      </w:r>
    </w:p>
    <w:p w14:paraId="03E76C7A" w14:textId="70FD6549" w:rsidR="002C73D0" w:rsidRDefault="00000000">
      <w:pPr>
        <w:spacing w:line="260" w:lineRule="auto"/>
        <w:jc w:val="both"/>
        <w:rPr>
          <w:rFonts w:ascii="Segoe UI" w:hAnsi="Segoe UI" w:cs="Segoe UI"/>
          <w:sz w:val="24"/>
          <w:szCs w:val="24"/>
        </w:rPr>
      </w:pPr>
      <w:r>
        <w:rPr>
          <w:rFonts w:ascii="Segoe UI" w:hAnsi="Segoe UI" w:cs="Segoe UI"/>
          <w:sz w:val="24"/>
          <w:szCs w:val="24"/>
        </w:rPr>
        <w:t>The contributions of this paper are threefold. First, it provides a comprehensive analysis of gender disparities in food sourcing and consumption patterns among households in Tanzania. Second, it identifies economic and social barriers that hinder female-headed households from accessing nutritious food, offering insights into their unique challenges. Lastly, the paper advocates for gender-sensitive approaches in nutrition policy and education, emphasizing the need for targeted interventions to enhance food security and promote healthier eating habits, thereby contributing to the broader discourse on food security and gender equality in alignment with the SDGs.</w:t>
      </w:r>
    </w:p>
    <w:p w14:paraId="603929DC" w14:textId="77777777" w:rsidR="002C73D0" w:rsidRDefault="00000000">
      <w:pPr>
        <w:pStyle w:val="Heading1"/>
        <w:numPr>
          <w:ilvl w:val="0"/>
          <w:numId w:val="1"/>
        </w:numPr>
        <w:spacing w:before="360" w:after="180" w:line="240" w:lineRule="auto"/>
        <w:rPr>
          <w:rFonts w:ascii="Segoe UI" w:hAnsi="Segoe UI" w:cs="Segoe UI"/>
          <w:color w:val="538135" w:themeColor="accent6" w:themeShade="BF"/>
          <w:sz w:val="32"/>
          <w:szCs w:val="32"/>
        </w:rPr>
      </w:pPr>
      <w:bookmarkStart w:id="2" w:name="_Hlk183670625"/>
      <w:bookmarkEnd w:id="1"/>
      <w:r>
        <w:rPr>
          <w:rFonts w:ascii="Segoe UI" w:hAnsi="Segoe UI" w:cs="Segoe UI"/>
          <w:color w:val="538135" w:themeColor="accent6" w:themeShade="BF"/>
          <w:sz w:val="32"/>
          <w:szCs w:val="32"/>
        </w:rPr>
        <w:t>Material and Methods</w:t>
      </w:r>
    </w:p>
    <w:p w14:paraId="3FC344DB" w14:textId="12FCE87D" w:rsidR="008F1CBF" w:rsidRPr="003A1F49" w:rsidRDefault="003A1F49" w:rsidP="003A1F49">
      <w:pPr>
        <w:pStyle w:val="Heading2"/>
        <w:spacing w:before="120" w:after="180" w:line="240" w:lineRule="auto"/>
        <w:rPr>
          <w:rFonts w:ascii="Segoe UI" w:hAnsi="Segoe UI" w:cs="Segoe UI"/>
          <w:sz w:val="26"/>
          <w:szCs w:val="26"/>
        </w:rPr>
      </w:pPr>
      <w:r>
        <w:rPr>
          <w:rFonts w:ascii="Segoe UI" w:hAnsi="Segoe UI" w:cs="Segoe UI"/>
          <w:sz w:val="26"/>
          <w:szCs w:val="26"/>
        </w:rPr>
        <w:t xml:space="preserve">2.1 </w:t>
      </w:r>
      <w:r w:rsidR="008F1CBF" w:rsidRPr="003A1F49">
        <w:rPr>
          <w:rFonts w:ascii="Segoe UI" w:hAnsi="Segoe UI" w:cs="Segoe UI"/>
          <w:sz w:val="26"/>
          <w:szCs w:val="26"/>
        </w:rPr>
        <w:t>Study site</w:t>
      </w:r>
    </w:p>
    <w:p w14:paraId="13769562" w14:textId="011DB14F" w:rsidR="00961B24" w:rsidRDefault="00961B24" w:rsidP="008F1CBF">
      <w:pPr>
        <w:spacing w:after="120" w:line="240" w:lineRule="auto"/>
        <w:jc w:val="both"/>
        <w:rPr>
          <w:rFonts w:ascii="Segoe UI" w:hAnsi="Segoe UI" w:cs="Segoe UI"/>
          <w:sz w:val="24"/>
          <w:szCs w:val="24"/>
          <w:lang w:val="en-US"/>
        </w:rPr>
      </w:pPr>
      <w:r w:rsidRPr="00961B24">
        <w:rPr>
          <w:rFonts w:ascii="Segoe UI" w:hAnsi="Segoe UI" w:cs="Segoe UI"/>
          <w:sz w:val="24"/>
          <w:szCs w:val="24"/>
        </w:rPr>
        <w:t>This study was conducted across three regions of Tanzania: Njombe, Dodoma, and Tanga, chosen for their varying levels of malnutrition. Specifically, one region was selected with the highest malnutrition rates, one with intermediate levels, and one with the lowest. In each region, one rural district and one urban district were randomly selected for data collection. The study took place in Njombe and Wanging’ombe districts (Njombe region), Chamwino and Dodoma districts (Dodoma region), and Mkinga and Tanga Municipal districts (Tanga region). These regions were strategically selected to capture a diverse range of food accessibility and consumption patterns.</w:t>
      </w:r>
    </w:p>
    <w:p w14:paraId="172C3793" w14:textId="386B5D30" w:rsidR="003126FA" w:rsidRPr="003A1F49" w:rsidRDefault="003A1F49" w:rsidP="003A1F49">
      <w:pPr>
        <w:pStyle w:val="Heading2"/>
        <w:spacing w:before="120" w:after="180" w:line="240" w:lineRule="auto"/>
        <w:rPr>
          <w:rFonts w:ascii="Segoe UI" w:hAnsi="Segoe UI" w:cs="Segoe UI"/>
          <w:sz w:val="26"/>
          <w:szCs w:val="26"/>
        </w:rPr>
      </w:pPr>
      <w:r>
        <w:rPr>
          <w:rFonts w:ascii="Segoe UI" w:hAnsi="Segoe UI" w:cs="Segoe UI"/>
          <w:sz w:val="26"/>
          <w:szCs w:val="26"/>
        </w:rPr>
        <w:t xml:space="preserve">2.2 </w:t>
      </w:r>
      <w:r w:rsidR="003126FA" w:rsidRPr="003A1F49">
        <w:rPr>
          <w:rFonts w:ascii="Segoe UI" w:hAnsi="Segoe UI" w:cs="Segoe UI"/>
          <w:sz w:val="26"/>
          <w:szCs w:val="26"/>
        </w:rPr>
        <w:t xml:space="preserve">Data </w:t>
      </w:r>
    </w:p>
    <w:p w14:paraId="1F2B0A48" w14:textId="4EE681CC" w:rsidR="00961B24" w:rsidRPr="00961B24" w:rsidRDefault="00961B24" w:rsidP="00961B24">
      <w:pPr>
        <w:spacing w:after="120" w:line="240" w:lineRule="auto"/>
        <w:jc w:val="both"/>
        <w:rPr>
          <w:rFonts w:ascii="Segoe UI" w:hAnsi="Segoe UI" w:cs="Segoe UI"/>
          <w:sz w:val="24"/>
          <w:szCs w:val="24"/>
          <w:lang w:val="en-US"/>
        </w:rPr>
      </w:pPr>
      <w:r w:rsidRPr="00961B24">
        <w:rPr>
          <w:rFonts w:ascii="Segoe UI" w:hAnsi="Segoe UI" w:cs="Segoe UI"/>
          <w:sz w:val="24"/>
          <w:szCs w:val="24"/>
          <w:lang w:val="en-US"/>
        </w:rPr>
        <w:t>Primary data were collected through a combination of surveys, focus group discussions (FGDs), and in-depth interviews. A total of 300 households were surveyed, with 100 households interviewed per region. Within each region, 50 households were selected from urban districts, and 50 from rural districts. The households were randomly selected by village or street leaders from an existing community membership list. Survey data were gathered through a structured questionnaire, covering topics such as 24-hour food consumption recall, perceptions of food price variability, gender and nutrition-related aspects, household spending, and demographic characteristics.</w:t>
      </w:r>
    </w:p>
    <w:p w14:paraId="2781B7D5" w14:textId="6DBEE1BA" w:rsidR="00961B24" w:rsidRPr="00961B24" w:rsidRDefault="00961B24" w:rsidP="00961B24">
      <w:pPr>
        <w:spacing w:after="120" w:line="240" w:lineRule="auto"/>
        <w:jc w:val="both"/>
        <w:rPr>
          <w:rFonts w:ascii="Segoe UI" w:hAnsi="Segoe UI" w:cs="Segoe UI"/>
          <w:sz w:val="24"/>
          <w:szCs w:val="24"/>
          <w:lang w:val="en-US"/>
        </w:rPr>
      </w:pPr>
      <w:r w:rsidRPr="00961B24">
        <w:rPr>
          <w:rFonts w:ascii="Segoe UI" w:hAnsi="Segoe UI" w:cs="Segoe UI"/>
          <w:sz w:val="24"/>
          <w:szCs w:val="24"/>
          <w:lang w:val="en-US"/>
        </w:rPr>
        <w:t>In addition to the household survey, two FGDs were conducted in each district—one with a male-only group and one with a female-only group. Each FGD consisted of eight participants, providing valuable insights into the gendered dynamics of food consumption and nutrition within households.</w:t>
      </w:r>
    </w:p>
    <w:p w14:paraId="34432EA7" w14:textId="367626E5" w:rsidR="003A1F49" w:rsidRPr="003A1F49" w:rsidRDefault="00961B24" w:rsidP="00961B24">
      <w:pPr>
        <w:spacing w:after="120" w:line="240" w:lineRule="auto"/>
        <w:jc w:val="both"/>
        <w:rPr>
          <w:rFonts w:ascii="Segoe UI" w:hAnsi="Segoe UI" w:cs="Segoe UI"/>
          <w:sz w:val="24"/>
          <w:szCs w:val="24"/>
          <w:lang w:val="en-US"/>
        </w:rPr>
      </w:pPr>
      <w:r w:rsidRPr="00961B24">
        <w:rPr>
          <w:rFonts w:ascii="Segoe UI" w:hAnsi="Segoe UI" w:cs="Segoe UI"/>
          <w:sz w:val="24"/>
          <w:szCs w:val="24"/>
          <w:lang w:val="en-US"/>
        </w:rPr>
        <w:lastRenderedPageBreak/>
        <w:t>Furthermore, 53 in-depth interviews were conducted with key informants, including community health officers, religious leaders, local nutritionists, health officers, and nutrition specialists from non-governmental organizations (NGOs). These interviews aimed to gather expert opinions on local food security issues, gender disparities in nutrition, and coping mechanisms employed by households facing food affordability challenges.</w:t>
      </w:r>
      <w:r w:rsidR="003A1F49" w:rsidRPr="003A1F49">
        <w:rPr>
          <w:rFonts w:ascii="Segoe UI" w:hAnsi="Segoe UI" w:cs="Segoe UI"/>
          <w:sz w:val="24"/>
          <w:szCs w:val="24"/>
          <w:lang w:val="en-US"/>
        </w:rPr>
        <w:t xml:space="preserve">                       </w:t>
      </w:r>
    </w:p>
    <w:p w14:paraId="10619922" w14:textId="378B4907" w:rsidR="003A1F49" w:rsidRPr="003A1F49" w:rsidRDefault="003A1F49" w:rsidP="003A1F49">
      <w:pPr>
        <w:spacing w:after="120" w:line="240" w:lineRule="auto"/>
        <w:jc w:val="both"/>
        <w:rPr>
          <w:rFonts w:ascii="Segoe UI" w:hAnsi="Segoe UI" w:cs="Segoe UI"/>
          <w:sz w:val="24"/>
          <w:szCs w:val="24"/>
          <w:lang w:val="en-US"/>
        </w:rPr>
      </w:pPr>
      <w:r>
        <w:rPr>
          <w:noProof/>
        </w:rPr>
        <w:drawing>
          <wp:inline distT="0" distB="0" distL="0" distR="0" wp14:anchorId="757D696E" wp14:editId="1BDD78AF">
            <wp:extent cx="5731510" cy="42411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188" r="13231"/>
                    <a:stretch/>
                  </pic:blipFill>
                  <pic:spPr bwMode="auto">
                    <a:xfrm>
                      <a:off x="0" y="0"/>
                      <a:ext cx="5731510" cy="4241165"/>
                    </a:xfrm>
                    <a:prstGeom prst="rect">
                      <a:avLst/>
                    </a:prstGeom>
                    <a:ln>
                      <a:noFill/>
                    </a:ln>
                    <a:extLst>
                      <a:ext uri="{53640926-AAD7-44D8-BBD7-CCE9431645EC}">
                        <a14:shadowObscured xmlns:a14="http://schemas.microsoft.com/office/drawing/2010/main"/>
                      </a:ext>
                    </a:extLst>
                  </pic:spPr>
                </pic:pic>
              </a:graphicData>
            </a:graphic>
          </wp:inline>
        </w:drawing>
      </w:r>
    </w:p>
    <w:p w14:paraId="3008536E" w14:textId="77777777" w:rsidR="00826115" w:rsidRDefault="00826115" w:rsidP="003A1F49">
      <w:pPr>
        <w:spacing w:after="120" w:line="240" w:lineRule="auto"/>
        <w:jc w:val="both"/>
        <w:rPr>
          <w:rFonts w:ascii="Segoe UI" w:hAnsi="Segoe UI" w:cs="Segoe UI"/>
          <w:sz w:val="24"/>
          <w:szCs w:val="24"/>
          <w:lang w:val="en-US"/>
        </w:rPr>
      </w:pPr>
      <w:r>
        <w:rPr>
          <w:rFonts w:ascii="Segoe UI" w:hAnsi="Segoe UI" w:cs="Segoe UI"/>
          <w:sz w:val="24"/>
          <w:szCs w:val="24"/>
          <w:lang w:val="en-US"/>
        </w:rPr>
        <w:t xml:space="preserve">Figure 1: Study site </w:t>
      </w:r>
      <w:r w:rsidR="003A1F49" w:rsidRPr="003A1F49">
        <w:rPr>
          <w:rFonts w:ascii="Segoe UI" w:hAnsi="Segoe UI" w:cs="Segoe UI"/>
          <w:sz w:val="24"/>
          <w:szCs w:val="24"/>
          <w:lang w:val="en-US"/>
        </w:rPr>
        <w:t>Area of data collection</w:t>
      </w:r>
    </w:p>
    <w:p w14:paraId="145846B8" w14:textId="4A758065" w:rsidR="003A1F49" w:rsidRPr="003A1F49" w:rsidRDefault="003A1F49" w:rsidP="003A1F49">
      <w:pPr>
        <w:spacing w:after="120" w:line="240" w:lineRule="auto"/>
        <w:jc w:val="both"/>
        <w:rPr>
          <w:rFonts w:ascii="Segoe UI" w:hAnsi="Segoe UI" w:cs="Segoe UI"/>
          <w:sz w:val="24"/>
          <w:szCs w:val="24"/>
          <w:lang w:val="en-US"/>
        </w:rPr>
      </w:pPr>
      <w:r w:rsidRPr="003A1F49">
        <w:rPr>
          <w:rFonts w:ascii="Segoe UI" w:hAnsi="Segoe UI" w:cs="Segoe UI"/>
          <w:sz w:val="24"/>
          <w:szCs w:val="24"/>
          <w:lang w:val="en-US"/>
        </w:rPr>
        <w:t>Source: Author</w:t>
      </w:r>
      <w:r w:rsidR="00826115">
        <w:rPr>
          <w:rFonts w:ascii="Segoe UI" w:hAnsi="Segoe UI" w:cs="Segoe UI"/>
          <w:sz w:val="24"/>
          <w:szCs w:val="24"/>
          <w:lang w:val="en-US"/>
        </w:rPr>
        <w:t>s</w:t>
      </w:r>
    </w:p>
    <w:p w14:paraId="4E7DB7D3" w14:textId="77777777" w:rsidR="00826115" w:rsidRDefault="00826115" w:rsidP="00826115">
      <w:pPr>
        <w:spacing w:after="120" w:line="240" w:lineRule="auto"/>
        <w:rPr>
          <w:rFonts w:ascii="Segoe UI" w:hAnsi="Segoe UI" w:cs="Segoe UI"/>
          <w:sz w:val="24"/>
          <w:szCs w:val="24"/>
        </w:rPr>
      </w:pPr>
    </w:p>
    <w:p w14:paraId="4E86BA16" w14:textId="0C551EF8" w:rsidR="00826115" w:rsidRPr="00826115" w:rsidRDefault="00826115" w:rsidP="00826115">
      <w:pPr>
        <w:pStyle w:val="Heading2"/>
        <w:spacing w:before="120" w:after="180" w:line="240" w:lineRule="auto"/>
        <w:rPr>
          <w:rFonts w:ascii="Segoe UI" w:hAnsi="Segoe UI" w:cs="Segoe UI"/>
          <w:sz w:val="26"/>
          <w:szCs w:val="26"/>
        </w:rPr>
      </w:pPr>
      <w:r>
        <w:rPr>
          <w:rFonts w:ascii="Segoe UI" w:hAnsi="Segoe UI" w:cs="Segoe UI"/>
          <w:sz w:val="26"/>
          <w:szCs w:val="26"/>
        </w:rPr>
        <w:t xml:space="preserve">2.3 </w:t>
      </w:r>
      <w:r w:rsidRPr="00826115">
        <w:rPr>
          <w:rFonts w:ascii="Segoe UI" w:hAnsi="Segoe UI" w:cs="Segoe UI"/>
          <w:sz w:val="26"/>
          <w:szCs w:val="26"/>
        </w:rPr>
        <w:t xml:space="preserve">Methodology </w:t>
      </w:r>
    </w:p>
    <w:p w14:paraId="61C8AC9C" w14:textId="77777777" w:rsidR="00671087" w:rsidRPr="00671087" w:rsidRDefault="00671087" w:rsidP="00671087">
      <w:pPr>
        <w:spacing w:after="120" w:line="240" w:lineRule="auto"/>
        <w:jc w:val="both"/>
        <w:rPr>
          <w:rFonts w:ascii="Segoe UI" w:hAnsi="Segoe UI" w:cs="Segoe UI"/>
          <w:sz w:val="24"/>
          <w:szCs w:val="24"/>
        </w:rPr>
      </w:pPr>
      <w:r w:rsidRPr="00671087">
        <w:rPr>
          <w:rFonts w:ascii="Segoe UI" w:hAnsi="Segoe UI" w:cs="Segoe UI"/>
          <w:sz w:val="24"/>
          <w:szCs w:val="24"/>
        </w:rPr>
        <w:t>The study utilized a mixed-methods approach, combining both quantitative and qualitative research techniques to provide a comprehensive understanding of gendered patterns in food consumption.</w:t>
      </w:r>
    </w:p>
    <w:p w14:paraId="1AC3C201" w14:textId="77777777" w:rsidR="00671087" w:rsidRPr="00671087" w:rsidRDefault="00671087" w:rsidP="00671087">
      <w:pPr>
        <w:spacing w:after="120" w:line="240" w:lineRule="auto"/>
        <w:jc w:val="both"/>
        <w:rPr>
          <w:rFonts w:ascii="Segoe UI" w:hAnsi="Segoe UI" w:cs="Segoe UI"/>
          <w:sz w:val="24"/>
          <w:szCs w:val="24"/>
        </w:rPr>
      </w:pPr>
      <w:r w:rsidRPr="00671087">
        <w:rPr>
          <w:rFonts w:ascii="Segoe UI" w:hAnsi="Segoe UI" w:cs="Segoe UI"/>
          <w:sz w:val="24"/>
          <w:szCs w:val="24"/>
        </w:rPr>
        <w:t>For the quantitative analysis, descriptive statistics were employed, alongside graphical representations (e.g., charts and graphs), to illustrate household responses related to food consumption, perceptions of food cost and price variability, and coping strategies in male- and female-headed households. Frequencies and means were calculated to summarize the survey data and provide a clear picture of the gendered patterns in food consumption and affordability.</w:t>
      </w:r>
    </w:p>
    <w:p w14:paraId="20C71C16" w14:textId="77777777" w:rsidR="00671087" w:rsidRPr="00671087" w:rsidRDefault="00671087" w:rsidP="00671087">
      <w:pPr>
        <w:spacing w:after="120" w:line="240" w:lineRule="auto"/>
        <w:jc w:val="both"/>
        <w:rPr>
          <w:rFonts w:ascii="Segoe UI" w:hAnsi="Segoe UI" w:cs="Segoe UI"/>
          <w:sz w:val="24"/>
          <w:szCs w:val="24"/>
        </w:rPr>
      </w:pPr>
      <w:r w:rsidRPr="00671087">
        <w:rPr>
          <w:rFonts w:ascii="Segoe UI" w:hAnsi="Segoe UI" w:cs="Segoe UI"/>
          <w:sz w:val="24"/>
          <w:szCs w:val="24"/>
        </w:rPr>
        <w:lastRenderedPageBreak/>
        <w:t>For the qualitative analysis, thematic and content analysis methods were used to analyze the data from the focus group discussions and in-depth interviews. Themes were identified based on recurrent patterns and issues related to food access, gender roles, and economic constraints, allowing for an in-depth understanding of how these factors influence dietary choices and nutritional outcomes in different household structures.</w:t>
      </w:r>
    </w:p>
    <w:p w14:paraId="10371FCF" w14:textId="7463F73D" w:rsidR="00826115" w:rsidRDefault="00671087" w:rsidP="00671087">
      <w:pPr>
        <w:spacing w:after="120" w:line="240" w:lineRule="auto"/>
        <w:jc w:val="both"/>
        <w:rPr>
          <w:rFonts w:ascii="Segoe UI" w:hAnsi="Segoe UI" w:cs="Segoe UI"/>
          <w:sz w:val="24"/>
          <w:szCs w:val="24"/>
        </w:rPr>
      </w:pPr>
      <w:r w:rsidRPr="00671087">
        <w:rPr>
          <w:rFonts w:ascii="Segoe UI" w:hAnsi="Segoe UI" w:cs="Segoe UI"/>
          <w:sz w:val="24"/>
          <w:szCs w:val="24"/>
        </w:rPr>
        <w:t>This mixed-methods design enabled the triangulation of findings, providing a richer and more nuanced understanding of the complex factors that shape food consumption patterns and nutritional disparities in Tanzanian households.</w:t>
      </w:r>
    </w:p>
    <w:bookmarkEnd w:id="2"/>
    <w:p w14:paraId="34054827" w14:textId="77777777" w:rsidR="00671087" w:rsidRPr="00826115" w:rsidRDefault="00671087" w:rsidP="00671087">
      <w:pPr>
        <w:spacing w:after="120" w:line="240" w:lineRule="auto"/>
        <w:jc w:val="both"/>
        <w:rPr>
          <w:rFonts w:ascii="Segoe UI" w:hAnsi="Segoe UI" w:cs="Segoe UI"/>
          <w:sz w:val="24"/>
          <w:szCs w:val="24"/>
        </w:rPr>
      </w:pPr>
    </w:p>
    <w:p w14:paraId="404122EF" w14:textId="39F5870A" w:rsidR="002C73D0" w:rsidRDefault="00826115" w:rsidP="00826115">
      <w:pPr>
        <w:pStyle w:val="Heading2"/>
        <w:spacing w:before="120" w:after="180" w:line="240" w:lineRule="auto"/>
        <w:rPr>
          <w:rFonts w:ascii="Segoe UI" w:hAnsi="Segoe UI" w:cs="Segoe UI"/>
          <w:sz w:val="26"/>
          <w:szCs w:val="26"/>
        </w:rPr>
      </w:pPr>
      <w:r>
        <w:rPr>
          <w:rFonts w:ascii="Segoe UI" w:hAnsi="Segoe UI" w:cs="Segoe UI"/>
          <w:sz w:val="26"/>
          <w:szCs w:val="26"/>
        </w:rPr>
        <w:t xml:space="preserve">2.4 Summary </w:t>
      </w:r>
      <w:r w:rsidRPr="00826115">
        <w:rPr>
          <w:rFonts w:ascii="Segoe UI" w:hAnsi="Segoe UI" w:cs="Segoe UI"/>
          <w:sz w:val="26"/>
          <w:szCs w:val="26"/>
        </w:rPr>
        <w:t xml:space="preserve">Statistics </w:t>
      </w:r>
    </w:p>
    <w:p w14:paraId="3303B216" w14:textId="5D85C59E" w:rsidR="00671087" w:rsidRPr="00671087" w:rsidRDefault="00671087" w:rsidP="00671087">
      <w:pPr>
        <w:spacing w:after="120" w:line="240" w:lineRule="auto"/>
        <w:jc w:val="both"/>
        <w:rPr>
          <w:rFonts w:ascii="Segoe UI" w:hAnsi="Segoe UI" w:cs="Segoe UI"/>
          <w:sz w:val="24"/>
          <w:szCs w:val="24"/>
        </w:rPr>
      </w:pPr>
      <w:r w:rsidRPr="00671087">
        <w:rPr>
          <w:rFonts w:ascii="Segoe UI" w:hAnsi="Segoe UI" w:cs="Segoe UI"/>
          <w:sz w:val="24"/>
          <w:szCs w:val="24"/>
        </w:rPr>
        <w:t>The summary statistics for the surveyed households are presented in the table below, which provides key descriptive information on household characteristics, head demographics, and socio-economic factors that influence food sourcing and consumption patterns.</w:t>
      </w:r>
    </w:p>
    <w:tbl>
      <w:tblPr>
        <w:tblW w:w="8430" w:type="dxa"/>
        <w:tblLayout w:type="fixed"/>
        <w:tblLook w:val="04A0" w:firstRow="1" w:lastRow="0" w:firstColumn="1" w:lastColumn="0" w:noHBand="0" w:noVBand="1"/>
      </w:tblPr>
      <w:tblGrid>
        <w:gridCol w:w="3150"/>
        <w:gridCol w:w="660"/>
        <w:gridCol w:w="1155"/>
        <w:gridCol w:w="1155"/>
        <w:gridCol w:w="1155"/>
        <w:gridCol w:w="1155"/>
      </w:tblGrid>
      <w:tr w:rsidR="002C73D0" w:rsidRPr="00826115" w14:paraId="665FC9FB" w14:textId="77777777" w:rsidTr="00826115">
        <w:trPr>
          <w:trHeight w:val="404"/>
        </w:trPr>
        <w:tc>
          <w:tcPr>
            <w:tcW w:w="3150" w:type="dxa"/>
            <w:tcBorders>
              <w:top w:val="single" w:sz="4" w:space="0" w:color="auto"/>
              <w:left w:val="nil"/>
              <w:bottom w:val="single" w:sz="10" w:space="0" w:color="auto"/>
              <w:right w:val="nil"/>
            </w:tcBorders>
          </w:tcPr>
          <w:p w14:paraId="1DE6063D" w14:textId="77777777"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 xml:space="preserve"> Variable</w:t>
            </w:r>
          </w:p>
        </w:tc>
        <w:tc>
          <w:tcPr>
            <w:tcW w:w="660" w:type="dxa"/>
            <w:tcBorders>
              <w:top w:val="single" w:sz="4" w:space="0" w:color="auto"/>
              <w:left w:val="nil"/>
              <w:bottom w:val="single" w:sz="10" w:space="0" w:color="auto"/>
              <w:right w:val="nil"/>
            </w:tcBorders>
          </w:tcPr>
          <w:p w14:paraId="1C8A1CB7" w14:textId="77777777" w:rsidR="002C73D0" w:rsidRPr="00826115" w:rsidRDefault="00000000">
            <w:pPr>
              <w:widowControl w:val="0"/>
              <w:autoSpaceDE w:val="0"/>
              <w:autoSpaceDN w:val="0"/>
              <w:adjustRightInd w:val="0"/>
              <w:spacing w:after="120" w:line="240" w:lineRule="auto"/>
              <w:jc w:val="center"/>
              <w:rPr>
                <w:rFonts w:ascii="Segoe UI" w:hAnsi="Segoe UI" w:cs="Segoe UI"/>
                <w:lang w:val="en-US"/>
              </w:rPr>
            </w:pPr>
            <w:r w:rsidRPr="00826115">
              <w:rPr>
                <w:rFonts w:ascii="Segoe UI" w:hAnsi="Segoe UI" w:cs="Segoe UI"/>
                <w:lang w:val="en-US"/>
              </w:rPr>
              <w:t xml:space="preserve">  N </w:t>
            </w:r>
          </w:p>
        </w:tc>
        <w:tc>
          <w:tcPr>
            <w:tcW w:w="1155" w:type="dxa"/>
            <w:tcBorders>
              <w:top w:val="single" w:sz="4" w:space="0" w:color="auto"/>
              <w:left w:val="nil"/>
              <w:bottom w:val="single" w:sz="10" w:space="0" w:color="auto"/>
              <w:right w:val="nil"/>
            </w:tcBorders>
          </w:tcPr>
          <w:p w14:paraId="797C680D"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 xml:space="preserve"> Mean</w:t>
            </w:r>
          </w:p>
        </w:tc>
        <w:tc>
          <w:tcPr>
            <w:tcW w:w="1155" w:type="dxa"/>
            <w:tcBorders>
              <w:top w:val="single" w:sz="4" w:space="0" w:color="auto"/>
              <w:left w:val="nil"/>
              <w:bottom w:val="single" w:sz="10" w:space="0" w:color="auto"/>
              <w:right w:val="nil"/>
            </w:tcBorders>
          </w:tcPr>
          <w:p w14:paraId="34B0B72E"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 xml:space="preserve"> Std. Dev.</w:t>
            </w:r>
          </w:p>
        </w:tc>
        <w:tc>
          <w:tcPr>
            <w:tcW w:w="1155" w:type="dxa"/>
            <w:tcBorders>
              <w:top w:val="single" w:sz="4" w:space="0" w:color="auto"/>
              <w:left w:val="nil"/>
              <w:bottom w:val="single" w:sz="10" w:space="0" w:color="auto"/>
              <w:right w:val="nil"/>
            </w:tcBorders>
          </w:tcPr>
          <w:p w14:paraId="7A702E4F"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 xml:space="preserve"> Min</w:t>
            </w:r>
          </w:p>
        </w:tc>
        <w:tc>
          <w:tcPr>
            <w:tcW w:w="1155" w:type="dxa"/>
            <w:tcBorders>
              <w:top w:val="single" w:sz="4" w:space="0" w:color="auto"/>
              <w:left w:val="nil"/>
              <w:bottom w:val="single" w:sz="10" w:space="0" w:color="auto"/>
              <w:right w:val="nil"/>
            </w:tcBorders>
          </w:tcPr>
          <w:p w14:paraId="3CAD7B4B"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 xml:space="preserve"> Max</w:t>
            </w:r>
          </w:p>
        </w:tc>
      </w:tr>
      <w:tr w:rsidR="002C73D0" w:rsidRPr="00826115" w14:paraId="1E2116F5" w14:textId="77777777" w:rsidTr="00826115">
        <w:trPr>
          <w:trHeight w:val="415"/>
        </w:trPr>
        <w:tc>
          <w:tcPr>
            <w:tcW w:w="3150" w:type="dxa"/>
            <w:tcBorders>
              <w:top w:val="nil"/>
              <w:left w:val="nil"/>
              <w:bottom w:val="nil"/>
              <w:right w:val="nil"/>
            </w:tcBorders>
          </w:tcPr>
          <w:p w14:paraId="03D484F1" w14:textId="77777777"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Household size</w:t>
            </w:r>
          </w:p>
        </w:tc>
        <w:tc>
          <w:tcPr>
            <w:tcW w:w="660" w:type="dxa"/>
            <w:tcBorders>
              <w:top w:val="nil"/>
              <w:left w:val="nil"/>
              <w:bottom w:val="nil"/>
              <w:right w:val="nil"/>
            </w:tcBorders>
          </w:tcPr>
          <w:p w14:paraId="0AFCD477"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206F9493"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5.12</w:t>
            </w:r>
          </w:p>
        </w:tc>
        <w:tc>
          <w:tcPr>
            <w:tcW w:w="1155" w:type="dxa"/>
            <w:tcBorders>
              <w:top w:val="nil"/>
              <w:left w:val="nil"/>
              <w:bottom w:val="nil"/>
              <w:right w:val="nil"/>
            </w:tcBorders>
          </w:tcPr>
          <w:p w14:paraId="73A39FD8"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2.277</w:t>
            </w:r>
          </w:p>
        </w:tc>
        <w:tc>
          <w:tcPr>
            <w:tcW w:w="1155" w:type="dxa"/>
            <w:tcBorders>
              <w:top w:val="nil"/>
              <w:left w:val="nil"/>
              <w:bottom w:val="nil"/>
              <w:right w:val="nil"/>
            </w:tcBorders>
          </w:tcPr>
          <w:p w14:paraId="67381681"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tc>
        <w:tc>
          <w:tcPr>
            <w:tcW w:w="1155" w:type="dxa"/>
            <w:tcBorders>
              <w:top w:val="nil"/>
              <w:left w:val="nil"/>
              <w:bottom w:val="nil"/>
              <w:right w:val="nil"/>
            </w:tcBorders>
          </w:tcPr>
          <w:p w14:paraId="6DC44893"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16</w:t>
            </w:r>
          </w:p>
        </w:tc>
      </w:tr>
      <w:tr w:rsidR="002C73D0" w:rsidRPr="00826115" w14:paraId="19ACB140" w14:textId="77777777" w:rsidTr="00826115">
        <w:trPr>
          <w:trHeight w:val="180"/>
        </w:trPr>
        <w:tc>
          <w:tcPr>
            <w:tcW w:w="3150" w:type="dxa"/>
            <w:tcBorders>
              <w:top w:val="nil"/>
              <w:left w:val="nil"/>
              <w:bottom w:val="nil"/>
              <w:right w:val="nil"/>
            </w:tcBorders>
          </w:tcPr>
          <w:p w14:paraId="767A69AD" w14:textId="0D49D11F"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 xml:space="preserve">Sex of the </w:t>
            </w:r>
            <w:r w:rsidR="00826115">
              <w:rPr>
                <w:rFonts w:ascii="Segoe UI" w:hAnsi="Segoe UI" w:cs="Segoe UI"/>
                <w:lang w:val="en-US"/>
              </w:rPr>
              <w:t>H</w:t>
            </w:r>
            <w:r w:rsidRPr="00826115">
              <w:rPr>
                <w:rFonts w:ascii="Segoe UI" w:hAnsi="Segoe UI" w:cs="Segoe UI"/>
                <w:lang w:val="en-US"/>
              </w:rPr>
              <w:t>ead</w:t>
            </w:r>
            <w:r w:rsidR="00826115">
              <w:rPr>
                <w:rFonts w:ascii="Segoe UI" w:hAnsi="Segoe UI" w:cs="Segoe UI"/>
                <w:lang w:val="en-US"/>
              </w:rPr>
              <w:t xml:space="preserve"> </w:t>
            </w:r>
            <w:r w:rsidRPr="00826115">
              <w:rPr>
                <w:rFonts w:ascii="Segoe UI" w:hAnsi="Segoe UI" w:cs="Segoe UI"/>
                <w:lang w:val="en-US"/>
              </w:rPr>
              <w:t>(Male=1)</w:t>
            </w:r>
          </w:p>
        </w:tc>
        <w:tc>
          <w:tcPr>
            <w:tcW w:w="660" w:type="dxa"/>
            <w:tcBorders>
              <w:top w:val="nil"/>
              <w:left w:val="nil"/>
              <w:bottom w:val="nil"/>
              <w:right w:val="nil"/>
            </w:tcBorders>
          </w:tcPr>
          <w:p w14:paraId="51350649"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7A3F02D8"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.733</w:t>
            </w:r>
          </w:p>
        </w:tc>
        <w:tc>
          <w:tcPr>
            <w:tcW w:w="1155" w:type="dxa"/>
            <w:tcBorders>
              <w:top w:val="nil"/>
              <w:left w:val="nil"/>
              <w:bottom w:val="nil"/>
              <w:right w:val="nil"/>
            </w:tcBorders>
          </w:tcPr>
          <w:p w14:paraId="5E5D20FD"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.443</w:t>
            </w:r>
          </w:p>
        </w:tc>
        <w:tc>
          <w:tcPr>
            <w:tcW w:w="1155" w:type="dxa"/>
            <w:tcBorders>
              <w:top w:val="nil"/>
              <w:left w:val="nil"/>
              <w:bottom w:val="nil"/>
              <w:right w:val="nil"/>
            </w:tcBorders>
          </w:tcPr>
          <w:p w14:paraId="35C761F4"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w:t>
            </w:r>
          </w:p>
        </w:tc>
        <w:tc>
          <w:tcPr>
            <w:tcW w:w="1155" w:type="dxa"/>
            <w:tcBorders>
              <w:top w:val="nil"/>
              <w:left w:val="nil"/>
              <w:bottom w:val="nil"/>
              <w:right w:val="nil"/>
            </w:tcBorders>
          </w:tcPr>
          <w:p w14:paraId="3D059187"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tc>
      </w:tr>
      <w:tr w:rsidR="002C73D0" w:rsidRPr="00826115" w14:paraId="56F17E6C" w14:textId="77777777" w:rsidTr="00826115">
        <w:trPr>
          <w:trHeight w:val="689"/>
        </w:trPr>
        <w:tc>
          <w:tcPr>
            <w:tcW w:w="3150" w:type="dxa"/>
            <w:tcBorders>
              <w:top w:val="nil"/>
              <w:left w:val="nil"/>
              <w:bottom w:val="nil"/>
              <w:right w:val="nil"/>
            </w:tcBorders>
          </w:tcPr>
          <w:p w14:paraId="1118A97D" w14:textId="46F25E6D"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 xml:space="preserve">Marital status of the </w:t>
            </w:r>
            <w:r w:rsidR="00826115">
              <w:rPr>
                <w:rFonts w:ascii="Segoe UI" w:hAnsi="Segoe UI" w:cs="Segoe UI"/>
                <w:lang w:val="en-US"/>
              </w:rPr>
              <w:t>Head</w:t>
            </w:r>
            <w:r w:rsidRPr="00826115">
              <w:rPr>
                <w:rFonts w:ascii="Segoe UI" w:hAnsi="Segoe UI" w:cs="Segoe UI"/>
                <w:lang w:val="en-US"/>
              </w:rPr>
              <w:t xml:space="preserve"> (Married=1)</w:t>
            </w:r>
          </w:p>
        </w:tc>
        <w:tc>
          <w:tcPr>
            <w:tcW w:w="660" w:type="dxa"/>
            <w:tcBorders>
              <w:top w:val="nil"/>
              <w:left w:val="nil"/>
              <w:bottom w:val="nil"/>
              <w:right w:val="nil"/>
            </w:tcBorders>
          </w:tcPr>
          <w:p w14:paraId="7A2ACD97"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571E0800"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.727</w:t>
            </w:r>
          </w:p>
        </w:tc>
        <w:tc>
          <w:tcPr>
            <w:tcW w:w="1155" w:type="dxa"/>
            <w:tcBorders>
              <w:top w:val="nil"/>
              <w:left w:val="nil"/>
              <w:bottom w:val="nil"/>
              <w:right w:val="nil"/>
            </w:tcBorders>
          </w:tcPr>
          <w:p w14:paraId="3625C270"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.446</w:t>
            </w:r>
          </w:p>
        </w:tc>
        <w:tc>
          <w:tcPr>
            <w:tcW w:w="1155" w:type="dxa"/>
            <w:tcBorders>
              <w:top w:val="nil"/>
              <w:left w:val="nil"/>
              <w:bottom w:val="nil"/>
              <w:right w:val="nil"/>
            </w:tcBorders>
          </w:tcPr>
          <w:p w14:paraId="61A125BE"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w:t>
            </w:r>
          </w:p>
        </w:tc>
        <w:tc>
          <w:tcPr>
            <w:tcW w:w="1155" w:type="dxa"/>
            <w:tcBorders>
              <w:top w:val="nil"/>
              <w:left w:val="nil"/>
              <w:bottom w:val="nil"/>
              <w:right w:val="nil"/>
            </w:tcBorders>
          </w:tcPr>
          <w:p w14:paraId="7E31C8CE"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tc>
      </w:tr>
      <w:tr w:rsidR="002C73D0" w:rsidRPr="00826115" w14:paraId="6B61A911" w14:textId="77777777" w:rsidTr="00826115">
        <w:trPr>
          <w:trHeight w:val="216"/>
        </w:trPr>
        <w:tc>
          <w:tcPr>
            <w:tcW w:w="3150" w:type="dxa"/>
            <w:tcBorders>
              <w:top w:val="nil"/>
              <w:left w:val="nil"/>
              <w:bottom w:val="nil"/>
              <w:right w:val="nil"/>
            </w:tcBorders>
          </w:tcPr>
          <w:p w14:paraId="098BCB2E" w14:textId="1D37C375" w:rsidR="002C73D0" w:rsidRPr="00826115" w:rsidRDefault="00000000">
            <w:pPr>
              <w:widowControl w:val="0"/>
              <w:autoSpaceDE w:val="0"/>
              <w:autoSpaceDN w:val="0"/>
              <w:adjustRightInd w:val="0"/>
              <w:spacing w:after="120" w:line="240" w:lineRule="auto"/>
              <w:rPr>
                <w:rFonts w:ascii="Segoe UI" w:hAnsi="Segoe UI" w:cs="Segoe UI"/>
                <w:i/>
                <w:iCs/>
                <w:lang w:val="en-US"/>
              </w:rPr>
            </w:pPr>
            <w:r w:rsidRPr="00826115">
              <w:rPr>
                <w:rFonts w:ascii="Segoe UI" w:hAnsi="Segoe UI" w:cs="Segoe UI"/>
                <w:i/>
                <w:iCs/>
                <w:lang w:val="en-US"/>
              </w:rPr>
              <w:t xml:space="preserve">Education level of the </w:t>
            </w:r>
            <w:r w:rsidR="00826115" w:rsidRPr="00826115">
              <w:rPr>
                <w:rFonts w:ascii="Segoe UI" w:hAnsi="Segoe UI" w:cs="Segoe UI"/>
                <w:i/>
                <w:iCs/>
                <w:lang w:val="en-US"/>
              </w:rPr>
              <w:t>Head</w:t>
            </w:r>
          </w:p>
        </w:tc>
        <w:tc>
          <w:tcPr>
            <w:tcW w:w="660" w:type="dxa"/>
            <w:tcBorders>
              <w:top w:val="nil"/>
              <w:left w:val="nil"/>
              <w:bottom w:val="nil"/>
              <w:right w:val="nil"/>
            </w:tcBorders>
          </w:tcPr>
          <w:p w14:paraId="52FE644C" w14:textId="77777777" w:rsidR="002C73D0" w:rsidRPr="00826115" w:rsidRDefault="002C73D0">
            <w:pPr>
              <w:widowControl w:val="0"/>
              <w:autoSpaceDE w:val="0"/>
              <w:autoSpaceDN w:val="0"/>
              <w:adjustRightInd w:val="0"/>
              <w:spacing w:after="120" w:line="240" w:lineRule="auto"/>
              <w:jc w:val="right"/>
              <w:rPr>
                <w:rFonts w:ascii="Segoe UI" w:hAnsi="Segoe UI" w:cs="Segoe UI"/>
                <w:lang w:val="en-US"/>
              </w:rPr>
            </w:pPr>
          </w:p>
        </w:tc>
        <w:tc>
          <w:tcPr>
            <w:tcW w:w="1155" w:type="dxa"/>
            <w:tcBorders>
              <w:top w:val="nil"/>
              <w:left w:val="nil"/>
              <w:bottom w:val="nil"/>
              <w:right w:val="nil"/>
            </w:tcBorders>
          </w:tcPr>
          <w:p w14:paraId="045AA77B" w14:textId="77777777" w:rsidR="002C73D0" w:rsidRPr="00826115" w:rsidRDefault="002C73D0">
            <w:pPr>
              <w:widowControl w:val="0"/>
              <w:autoSpaceDE w:val="0"/>
              <w:autoSpaceDN w:val="0"/>
              <w:adjustRightInd w:val="0"/>
              <w:spacing w:after="120" w:line="240" w:lineRule="auto"/>
              <w:jc w:val="right"/>
              <w:rPr>
                <w:rFonts w:ascii="Segoe UI" w:hAnsi="Segoe UI" w:cs="Segoe UI"/>
                <w:lang w:val="en-US"/>
              </w:rPr>
            </w:pPr>
          </w:p>
        </w:tc>
        <w:tc>
          <w:tcPr>
            <w:tcW w:w="1155" w:type="dxa"/>
            <w:tcBorders>
              <w:top w:val="nil"/>
              <w:left w:val="nil"/>
              <w:bottom w:val="nil"/>
              <w:right w:val="nil"/>
            </w:tcBorders>
          </w:tcPr>
          <w:p w14:paraId="24D7D46E" w14:textId="77777777" w:rsidR="002C73D0" w:rsidRPr="00826115" w:rsidRDefault="002C73D0">
            <w:pPr>
              <w:widowControl w:val="0"/>
              <w:autoSpaceDE w:val="0"/>
              <w:autoSpaceDN w:val="0"/>
              <w:adjustRightInd w:val="0"/>
              <w:spacing w:after="120" w:line="240" w:lineRule="auto"/>
              <w:jc w:val="right"/>
              <w:rPr>
                <w:rFonts w:ascii="Segoe UI" w:hAnsi="Segoe UI" w:cs="Segoe UI"/>
                <w:lang w:val="en-US"/>
              </w:rPr>
            </w:pPr>
          </w:p>
        </w:tc>
        <w:tc>
          <w:tcPr>
            <w:tcW w:w="1155" w:type="dxa"/>
            <w:tcBorders>
              <w:top w:val="nil"/>
              <w:left w:val="nil"/>
              <w:bottom w:val="nil"/>
              <w:right w:val="nil"/>
            </w:tcBorders>
          </w:tcPr>
          <w:p w14:paraId="06FD4307" w14:textId="77777777" w:rsidR="002C73D0" w:rsidRPr="00826115" w:rsidRDefault="002C73D0">
            <w:pPr>
              <w:widowControl w:val="0"/>
              <w:autoSpaceDE w:val="0"/>
              <w:autoSpaceDN w:val="0"/>
              <w:adjustRightInd w:val="0"/>
              <w:spacing w:after="120" w:line="240" w:lineRule="auto"/>
              <w:jc w:val="right"/>
              <w:rPr>
                <w:rFonts w:ascii="Segoe UI" w:hAnsi="Segoe UI" w:cs="Segoe UI"/>
                <w:lang w:val="en-US"/>
              </w:rPr>
            </w:pPr>
          </w:p>
        </w:tc>
        <w:tc>
          <w:tcPr>
            <w:tcW w:w="1155" w:type="dxa"/>
            <w:tcBorders>
              <w:top w:val="nil"/>
              <w:left w:val="nil"/>
              <w:bottom w:val="nil"/>
              <w:right w:val="nil"/>
            </w:tcBorders>
          </w:tcPr>
          <w:p w14:paraId="3D010676" w14:textId="77777777" w:rsidR="002C73D0" w:rsidRPr="00826115" w:rsidRDefault="002C73D0">
            <w:pPr>
              <w:widowControl w:val="0"/>
              <w:autoSpaceDE w:val="0"/>
              <w:autoSpaceDN w:val="0"/>
              <w:adjustRightInd w:val="0"/>
              <w:spacing w:after="120" w:line="240" w:lineRule="auto"/>
              <w:jc w:val="right"/>
              <w:rPr>
                <w:rFonts w:ascii="Segoe UI" w:hAnsi="Segoe UI" w:cs="Segoe UI"/>
                <w:lang w:val="en-US"/>
              </w:rPr>
            </w:pPr>
          </w:p>
        </w:tc>
      </w:tr>
      <w:tr w:rsidR="002C73D0" w:rsidRPr="00826115" w14:paraId="4C6A5166" w14:textId="77777777" w:rsidTr="00826115">
        <w:trPr>
          <w:trHeight w:val="404"/>
        </w:trPr>
        <w:tc>
          <w:tcPr>
            <w:tcW w:w="3150" w:type="dxa"/>
            <w:tcBorders>
              <w:top w:val="nil"/>
              <w:left w:val="nil"/>
              <w:bottom w:val="nil"/>
              <w:right w:val="nil"/>
            </w:tcBorders>
          </w:tcPr>
          <w:p w14:paraId="1C9FE6F7" w14:textId="77777777"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No formal education</w:t>
            </w:r>
          </w:p>
        </w:tc>
        <w:tc>
          <w:tcPr>
            <w:tcW w:w="660" w:type="dxa"/>
            <w:tcBorders>
              <w:top w:val="nil"/>
              <w:left w:val="nil"/>
              <w:bottom w:val="nil"/>
              <w:right w:val="nil"/>
            </w:tcBorders>
          </w:tcPr>
          <w:p w14:paraId="3D6C59E3"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00C1303C"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.09</w:t>
            </w:r>
          </w:p>
        </w:tc>
        <w:tc>
          <w:tcPr>
            <w:tcW w:w="1155" w:type="dxa"/>
            <w:tcBorders>
              <w:top w:val="nil"/>
              <w:left w:val="nil"/>
              <w:bottom w:val="nil"/>
              <w:right w:val="nil"/>
            </w:tcBorders>
          </w:tcPr>
          <w:p w14:paraId="0E642E50"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.287</w:t>
            </w:r>
          </w:p>
        </w:tc>
        <w:tc>
          <w:tcPr>
            <w:tcW w:w="1155" w:type="dxa"/>
            <w:tcBorders>
              <w:top w:val="nil"/>
              <w:left w:val="nil"/>
              <w:bottom w:val="nil"/>
              <w:right w:val="nil"/>
            </w:tcBorders>
          </w:tcPr>
          <w:p w14:paraId="3451759A"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w:t>
            </w:r>
          </w:p>
        </w:tc>
        <w:tc>
          <w:tcPr>
            <w:tcW w:w="1155" w:type="dxa"/>
            <w:tcBorders>
              <w:top w:val="nil"/>
              <w:left w:val="nil"/>
              <w:bottom w:val="nil"/>
              <w:right w:val="nil"/>
            </w:tcBorders>
          </w:tcPr>
          <w:p w14:paraId="34195F50"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tc>
      </w:tr>
      <w:tr w:rsidR="002C73D0" w:rsidRPr="00826115" w14:paraId="7FAAACE7" w14:textId="77777777" w:rsidTr="00826115">
        <w:trPr>
          <w:trHeight w:val="415"/>
        </w:trPr>
        <w:tc>
          <w:tcPr>
            <w:tcW w:w="3150" w:type="dxa"/>
            <w:tcBorders>
              <w:top w:val="nil"/>
              <w:left w:val="nil"/>
              <w:bottom w:val="nil"/>
              <w:right w:val="nil"/>
            </w:tcBorders>
          </w:tcPr>
          <w:p w14:paraId="25C18345" w14:textId="77777777"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 xml:space="preserve">Primary </w:t>
            </w:r>
          </w:p>
        </w:tc>
        <w:tc>
          <w:tcPr>
            <w:tcW w:w="660" w:type="dxa"/>
            <w:tcBorders>
              <w:top w:val="nil"/>
              <w:left w:val="nil"/>
              <w:bottom w:val="nil"/>
              <w:right w:val="nil"/>
            </w:tcBorders>
          </w:tcPr>
          <w:p w14:paraId="0BD5BBB2"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218E5609"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.613</w:t>
            </w:r>
          </w:p>
        </w:tc>
        <w:tc>
          <w:tcPr>
            <w:tcW w:w="1155" w:type="dxa"/>
            <w:tcBorders>
              <w:top w:val="nil"/>
              <w:left w:val="nil"/>
              <w:bottom w:val="nil"/>
              <w:right w:val="nil"/>
            </w:tcBorders>
          </w:tcPr>
          <w:p w14:paraId="6C875DD9"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.488</w:t>
            </w:r>
          </w:p>
        </w:tc>
        <w:tc>
          <w:tcPr>
            <w:tcW w:w="1155" w:type="dxa"/>
            <w:tcBorders>
              <w:top w:val="nil"/>
              <w:left w:val="nil"/>
              <w:bottom w:val="nil"/>
              <w:right w:val="nil"/>
            </w:tcBorders>
          </w:tcPr>
          <w:p w14:paraId="20285215"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w:t>
            </w:r>
          </w:p>
        </w:tc>
        <w:tc>
          <w:tcPr>
            <w:tcW w:w="1155" w:type="dxa"/>
            <w:tcBorders>
              <w:top w:val="nil"/>
              <w:left w:val="nil"/>
              <w:bottom w:val="nil"/>
              <w:right w:val="nil"/>
            </w:tcBorders>
          </w:tcPr>
          <w:p w14:paraId="45E1BA08"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tc>
      </w:tr>
      <w:tr w:rsidR="002C73D0" w:rsidRPr="00826115" w14:paraId="23651173" w14:textId="77777777" w:rsidTr="00826115">
        <w:trPr>
          <w:trHeight w:val="404"/>
        </w:trPr>
        <w:tc>
          <w:tcPr>
            <w:tcW w:w="3150" w:type="dxa"/>
            <w:tcBorders>
              <w:top w:val="nil"/>
              <w:left w:val="nil"/>
              <w:bottom w:val="nil"/>
              <w:right w:val="nil"/>
            </w:tcBorders>
          </w:tcPr>
          <w:p w14:paraId="51B81E9D" w14:textId="77777777"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 xml:space="preserve">Secondary </w:t>
            </w:r>
          </w:p>
        </w:tc>
        <w:tc>
          <w:tcPr>
            <w:tcW w:w="660" w:type="dxa"/>
            <w:tcBorders>
              <w:top w:val="nil"/>
              <w:left w:val="nil"/>
              <w:bottom w:val="nil"/>
              <w:right w:val="nil"/>
            </w:tcBorders>
          </w:tcPr>
          <w:p w14:paraId="1F7B6140"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5B4EA386"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.26</w:t>
            </w:r>
          </w:p>
        </w:tc>
        <w:tc>
          <w:tcPr>
            <w:tcW w:w="1155" w:type="dxa"/>
            <w:tcBorders>
              <w:top w:val="nil"/>
              <w:left w:val="nil"/>
              <w:bottom w:val="nil"/>
              <w:right w:val="nil"/>
            </w:tcBorders>
          </w:tcPr>
          <w:p w14:paraId="72E42C42"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.439</w:t>
            </w:r>
          </w:p>
        </w:tc>
        <w:tc>
          <w:tcPr>
            <w:tcW w:w="1155" w:type="dxa"/>
            <w:tcBorders>
              <w:top w:val="nil"/>
              <w:left w:val="nil"/>
              <w:bottom w:val="nil"/>
              <w:right w:val="nil"/>
            </w:tcBorders>
          </w:tcPr>
          <w:p w14:paraId="3682E55A"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w:t>
            </w:r>
          </w:p>
        </w:tc>
        <w:tc>
          <w:tcPr>
            <w:tcW w:w="1155" w:type="dxa"/>
            <w:tcBorders>
              <w:top w:val="nil"/>
              <w:left w:val="nil"/>
              <w:bottom w:val="nil"/>
              <w:right w:val="nil"/>
            </w:tcBorders>
          </w:tcPr>
          <w:p w14:paraId="56A56D75"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tc>
      </w:tr>
      <w:tr w:rsidR="002C73D0" w:rsidRPr="00826115" w14:paraId="34980071" w14:textId="77777777" w:rsidTr="00826115">
        <w:trPr>
          <w:trHeight w:val="404"/>
        </w:trPr>
        <w:tc>
          <w:tcPr>
            <w:tcW w:w="3150" w:type="dxa"/>
            <w:tcBorders>
              <w:top w:val="nil"/>
              <w:left w:val="nil"/>
              <w:bottom w:val="nil"/>
              <w:right w:val="nil"/>
            </w:tcBorders>
          </w:tcPr>
          <w:p w14:paraId="775B2A7D" w14:textId="77777777"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 xml:space="preserve">Tertiary </w:t>
            </w:r>
          </w:p>
        </w:tc>
        <w:tc>
          <w:tcPr>
            <w:tcW w:w="660" w:type="dxa"/>
            <w:tcBorders>
              <w:top w:val="nil"/>
              <w:left w:val="nil"/>
              <w:bottom w:val="nil"/>
              <w:right w:val="nil"/>
            </w:tcBorders>
          </w:tcPr>
          <w:p w14:paraId="7F79E2B6"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01FB5024"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.037</w:t>
            </w:r>
          </w:p>
        </w:tc>
        <w:tc>
          <w:tcPr>
            <w:tcW w:w="1155" w:type="dxa"/>
            <w:tcBorders>
              <w:top w:val="nil"/>
              <w:left w:val="nil"/>
              <w:bottom w:val="nil"/>
              <w:right w:val="nil"/>
            </w:tcBorders>
          </w:tcPr>
          <w:p w14:paraId="213E1779"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.188</w:t>
            </w:r>
          </w:p>
        </w:tc>
        <w:tc>
          <w:tcPr>
            <w:tcW w:w="1155" w:type="dxa"/>
            <w:tcBorders>
              <w:top w:val="nil"/>
              <w:left w:val="nil"/>
              <w:bottom w:val="nil"/>
              <w:right w:val="nil"/>
            </w:tcBorders>
          </w:tcPr>
          <w:p w14:paraId="66173EBF"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w:t>
            </w:r>
          </w:p>
        </w:tc>
        <w:tc>
          <w:tcPr>
            <w:tcW w:w="1155" w:type="dxa"/>
            <w:tcBorders>
              <w:top w:val="nil"/>
              <w:left w:val="nil"/>
              <w:bottom w:val="nil"/>
              <w:right w:val="nil"/>
            </w:tcBorders>
          </w:tcPr>
          <w:p w14:paraId="24CF024D"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tc>
      </w:tr>
      <w:tr w:rsidR="002C73D0" w:rsidRPr="00826115" w14:paraId="51E36FA7" w14:textId="77777777" w:rsidTr="00826115">
        <w:trPr>
          <w:trHeight w:val="404"/>
        </w:trPr>
        <w:tc>
          <w:tcPr>
            <w:tcW w:w="3150" w:type="dxa"/>
            <w:tcBorders>
              <w:top w:val="nil"/>
              <w:left w:val="nil"/>
              <w:bottom w:val="nil"/>
              <w:right w:val="nil"/>
            </w:tcBorders>
          </w:tcPr>
          <w:p w14:paraId="4655B8EE" w14:textId="77777777"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 xml:space="preserve"> Rural residence</w:t>
            </w:r>
          </w:p>
        </w:tc>
        <w:tc>
          <w:tcPr>
            <w:tcW w:w="660" w:type="dxa"/>
            <w:tcBorders>
              <w:top w:val="nil"/>
              <w:left w:val="nil"/>
              <w:bottom w:val="nil"/>
              <w:right w:val="nil"/>
            </w:tcBorders>
          </w:tcPr>
          <w:p w14:paraId="61A4600B"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7A05812D"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.5</w:t>
            </w:r>
          </w:p>
        </w:tc>
        <w:tc>
          <w:tcPr>
            <w:tcW w:w="1155" w:type="dxa"/>
            <w:tcBorders>
              <w:top w:val="nil"/>
              <w:left w:val="nil"/>
              <w:bottom w:val="nil"/>
              <w:right w:val="nil"/>
            </w:tcBorders>
          </w:tcPr>
          <w:p w14:paraId="40398CDD"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.501</w:t>
            </w:r>
          </w:p>
        </w:tc>
        <w:tc>
          <w:tcPr>
            <w:tcW w:w="1155" w:type="dxa"/>
            <w:tcBorders>
              <w:top w:val="nil"/>
              <w:left w:val="nil"/>
              <w:bottom w:val="nil"/>
              <w:right w:val="nil"/>
            </w:tcBorders>
          </w:tcPr>
          <w:p w14:paraId="7ADDDB50"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w:t>
            </w:r>
          </w:p>
        </w:tc>
        <w:tc>
          <w:tcPr>
            <w:tcW w:w="1155" w:type="dxa"/>
            <w:tcBorders>
              <w:top w:val="nil"/>
              <w:left w:val="nil"/>
              <w:bottom w:val="nil"/>
              <w:right w:val="nil"/>
            </w:tcBorders>
          </w:tcPr>
          <w:p w14:paraId="2C3394E2"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tc>
      </w:tr>
      <w:tr w:rsidR="002C73D0" w:rsidRPr="00826115" w14:paraId="2E9459AE" w14:textId="77777777" w:rsidTr="00826115">
        <w:trPr>
          <w:trHeight w:val="415"/>
        </w:trPr>
        <w:tc>
          <w:tcPr>
            <w:tcW w:w="3150" w:type="dxa"/>
            <w:tcBorders>
              <w:top w:val="nil"/>
              <w:left w:val="nil"/>
              <w:bottom w:val="nil"/>
              <w:right w:val="nil"/>
            </w:tcBorders>
          </w:tcPr>
          <w:p w14:paraId="1D3F336F" w14:textId="77777777"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 xml:space="preserve"> Household head age</w:t>
            </w:r>
          </w:p>
        </w:tc>
        <w:tc>
          <w:tcPr>
            <w:tcW w:w="660" w:type="dxa"/>
            <w:tcBorders>
              <w:top w:val="nil"/>
              <w:left w:val="nil"/>
              <w:bottom w:val="nil"/>
              <w:right w:val="nil"/>
            </w:tcBorders>
          </w:tcPr>
          <w:p w14:paraId="1CA4F408"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7F328E0D"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41.317</w:t>
            </w:r>
          </w:p>
        </w:tc>
        <w:tc>
          <w:tcPr>
            <w:tcW w:w="1155" w:type="dxa"/>
            <w:tcBorders>
              <w:top w:val="nil"/>
              <w:left w:val="nil"/>
              <w:bottom w:val="nil"/>
              <w:right w:val="nil"/>
            </w:tcBorders>
          </w:tcPr>
          <w:p w14:paraId="51807CF0"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15.117</w:t>
            </w:r>
          </w:p>
        </w:tc>
        <w:tc>
          <w:tcPr>
            <w:tcW w:w="1155" w:type="dxa"/>
            <w:tcBorders>
              <w:top w:val="nil"/>
              <w:left w:val="nil"/>
              <w:bottom w:val="nil"/>
              <w:right w:val="nil"/>
            </w:tcBorders>
          </w:tcPr>
          <w:p w14:paraId="4945D289"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18</w:t>
            </w:r>
          </w:p>
        </w:tc>
        <w:tc>
          <w:tcPr>
            <w:tcW w:w="1155" w:type="dxa"/>
            <w:tcBorders>
              <w:top w:val="nil"/>
              <w:left w:val="nil"/>
              <w:bottom w:val="nil"/>
              <w:right w:val="nil"/>
            </w:tcBorders>
          </w:tcPr>
          <w:p w14:paraId="16AAB953"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85</w:t>
            </w:r>
          </w:p>
        </w:tc>
      </w:tr>
      <w:tr w:rsidR="002C73D0" w:rsidRPr="00826115" w14:paraId="1617006F" w14:textId="77777777" w:rsidTr="00826115">
        <w:trPr>
          <w:trHeight w:val="216"/>
        </w:trPr>
        <w:tc>
          <w:tcPr>
            <w:tcW w:w="3150" w:type="dxa"/>
            <w:tcBorders>
              <w:top w:val="nil"/>
              <w:left w:val="nil"/>
              <w:bottom w:val="nil"/>
              <w:right w:val="nil"/>
            </w:tcBorders>
          </w:tcPr>
          <w:p w14:paraId="0C41285A" w14:textId="050FF3E8" w:rsidR="002C73D0" w:rsidRPr="00826115" w:rsidRDefault="00FA36E7">
            <w:pPr>
              <w:widowControl w:val="0"/>
              <w:autoSpaceDE w:val="0"/>
              <w:autoSpaceDN w:val="0"/>
              <w:adjustRightInd w:val="0"/>
              <w:spacing w:after="120" w:line="240" w:lineRule="auto"/>
              <w:rPr>
                <w:rFonts w:ascii="Segoe UI" w:hAnsi="Segoe UI" w:cs="Segoe UI"/>
                <w:i/>
                <w:iCs/>
                <w:lang w:val="en-US"/>
              </w:rPr>
            </w:pPr>
            <w:r>
              <w:rPr>
                <w:rFonts w:ascii="Segoe UI" w:hAnsi="Segoe UI" w:cs="Segoe UI"/>
                <w:i/>
                <w:iCs/>
                <w:lang w:val="en-US"/>
              </w:rPr>
              <w:t xml:space="preserve">Main </w:t>
            </w:r>
            <w:r w:rsidRPr="00826115">
              <w:rPr>
                <w:rFonts w:ascii="Segoe UI" w:hAnsi="Segoe UI" w:cs="Segoe UI"/>
                <w:i/>
                <w:iCs/>
                <w:lang w:val="en-US"/>
              </w:rPr>
              <w:t xml:space="preserve">Occupation of the </w:t>
            </w:r>
            <w:r w:rsidR="00826115" w:rsidRPr="00826115">
              <w:rPr>
                <w:rFonts w:ascii="Segoe UI" w:hAnsi="Segoe UI" w:cs="Segoe UI"/>
                <w:i/>
                <w:iCs/>
                <w:lang w:val="en-US"/>
              </w:rPr>
              <w:t>H</w:t>
            </w:r>
            <w:r w:rsidRPr="00826115">
              <w:rPr>
                <w:rFonts w:ascii="Segoe UI" w:hAnsi="Segoe UI" w:cs="Segoe UI"/>
                <w:i/>
                <w:iCs/>
                <w:lang w:val="en-US"/>
              </w:rPr>
              <w:t xml:space="preserve">ead </w:t>
            </w:r>
          </w:p>
        </w:tc>
        <w:tc>
          <w:tcPr>
            <w:tcW w:w="660" w:type="dxa"/>
            <w:tcBorders>
              <w:top w:val="nil"/>
              <w:left w:val="nil"/>
              <w:bottom w:val="nil"/>
              <w:right w:val="nil"/>
            </w:tcBorders>
          </w:tcPr>
          <w:p w14:paraId="3AB5CAC1" w14:textId="77777777" w:rsidR="002C73D0" w:rsidRPr="00826115" w:rsidRDefault="002C73D0">
            <w:pPr>
              <w:widowControl w:val="0"/>
              <w:autoSpaceDE w:val="0"/>
              <w:autoSpaceDN w:val="0"/>
              <w:adjustRightInd w:val="0"/>
              <w:spacing w:after="120" w:line="240" w:lineRule="auto"/>
              <w:jc w:val="right"/>
              <w:rPr>
                <w:rFonts w:ascii="Segoe UI" w:hAnsi="Segoe UI" w:cs="Segoe UI"/>
                <w:lang w:val="en-US"/>
              </w:rPr>
            </w:pPr>
          </w:p>
        </w:tc>
        <w:tc>
          <w:tcPr>
            <w:tcW w:w="1155" w:type="dxa"/>
            <w:tcBorders>
              <w:top w:val="nil"/>
              <w:left w:val="nil"/>
              <w:bottom w:val="nil"/>
              <w:right w:val="nil"/>
            </w:tcBorders>
          </w:tcPr>
          <w:p w14:paraId="6B302195" w14:textId="77777777" w:rsidR="002C73D0" w:rsidRPr="00826115" w:rsidRDefault="002C73D0">
            <w:pPr>
              <w:widowControl w:val="0"/>
              <w:autoSpaceDE w:val="0"/>
              <w:autoSpaceDN w:val="0"/>
              <w:adjustRightInd w:val="0"/>
              <w:spacing w:after="120" w:line="240" w:lineRule="auto"/>
              <w:jc w:val="right"/>
              <w:rPr>
                <w:rFonts w:ascii="Segoe UI" w:hAnsi="Segoe UI" w:cs="Segoe UI"/>
                <w:lang w:val="en-US"/>
              </w:rPr>
            </w:pPr>
          </w:p>
        </w:tc>
        <w:tc>
          <w:tcPr>
            <w:tcW w:w="1155" w:type="dxa"/>
            <w:tcBorders>
              <w:top w:val="nil"/>
              <w:left w:val="nil"/>
              <w:bottom w:val="nil"/>
              <w:right w:val="nil"/>
            </w:tcBorders>
          </w:tcPr>
          <w:p w14:paraId="3085384E" w14:textId="77777777" w:rsidR="002C73D0" w:rsidRPr="00826115" w:rsidRDefault="002C73D0">
            <w:pPr>
              <w:widowControl w:val="0"/>
              <w:autoSpaceDE w:val="0"/>
              <w:autoSpaceDN w:val="0"/>
              <w:adjustRightInd w:val="0"/>
              <w:spacing w:after="120" w:line="240" w:lineRule="auto"/>
              <w:jc w:val="right"/>
              <w:rPr>
                <w:rFonts w:ascii="Segoe UI" w:hAnsi="Segoe UI" w:cs="Segoe UI"/>
                <w:lang w:val="en-US"/>
              </w:rPr>
            </w:pPr>
          </w:p>
        </w:tc>
        <w:tc>
          <w:tcPr>
            <w:tcW w:w="1155" w:type="dxa"/>
            <w:tcBorders>
              <w:top w:val="nil"/>
              <w:left w:val="nil"/>
              <w:bottom w:val="nil"/>
              <w:right w:val="nil"/>
            </w:tcBorders>
          </w:tcPr>
          <w:p w14:paraId="01CDE6D3" w14:textId="77777777" w:rsidR="002C73D0" w:rsidRPr="00826115" w:rsidRDefault="002C73D0">
            <w:pPr>
              <w:widowControl w:val="0"/>
              <w:autoSpaceDE w:val="0"/>
              <w:autoSpaceDN w:val="0"/>
              <w:adjustRightInd w:val="0"/>
              <w:spacing w:after="120" w:line="240" w:lineRule="auto"/>
              <w:jc w:val="right"/>
              <w:rPr>
                <w:rFonts w:ascii="Segoe UI" w:hAnsi="Segoe UI" w:cs="Segoe UI"/>
                <w:lang w:val="en-US"/>
              </w:rPr>
            </w:pPr>
          </w:p>
        </w:tc>
        <w:tc>
          <w:tcPr>
            <w:tcW w:w="1155" w:type="dxa"/>
            <w:tcBorders>
              <w:top w:val="nil"/>
              <w:left w:val="nil"/>
              <w:bottom w:val="nil"/>
              <w:right w:val="nil"/>
            </w:tcBorders>
          </w:tcPr>
          <w:p w14:paraId="531CE200" w14:textId="77777777" w:rsidR="002C73D0" w:rsidRPr="00826115" w:rsidRDefault="002C73D0">
            <w:pPr>
              <w:widowControl w:val="0"/>
              <w:autoSpaceDE w:val="0"/>
              <w:autoSpaceDN w:val="0"/>
              <w:adjustRightInd w:val="0"/>
              <w:spacing w:after="120" w:line="240" w:lineRule="auto"/>
              <w:jc w:val="right"/>
              <w:rPr>
                <w:rFonts w:ascii="Segoe UI" w:hAnsi="Segoe UI" w:cs="Segoe UI"/>
                <w:lang w:val="en-US"/>
              </w:rPr>
            </w:pPr>
          </w:p>
        </w:tc>
      </w:tr>
      <w:tr w:rsidR="002C73D0" w:rsidRPr="00826115" w14:paraId="75BD718A" w14:textId="77777777" w:rsidTr="00826115">
        <w:trPr>
          <w:trHeight w:val="404"/>
        </w:trPr>
        <w:tc>
          <w:tcPr>
            <w:tcW w:w="3150" w:type="dxa"/>
            <w:tcBorders>
              <w:top w:val="nil"/>
              <w:left w:val="nil"/>
              <w:bottom w:val="nil"/>
              <w:right w:val="nil"/>
            </w:tcBorders>
          </w:tcPr>
          <w:p w14:paraId="0B78520F" w14:textId="77777777"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Agriculture occupation</w:t>
            </w:r>
          </w:p>
        </w:tc>
        <w:tc>
          <w:tcPr>
            <w:tcW w:w="660" w:type="dxa"/>
            <w:tcBorders>
              <w:top w:val="nil"/>
              <w:left w:val="nil"/>
              <w:bottom w:val="nil"/>
              <w:right w:val="nil"/>
            </w:tcBorders>
          </w:tcPr>
          <w:p w14:paraId="21F0B19D"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29DA954D"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.4</w:t>
            </w:r>
          </w:p>
        </w:tc>
        <w:tc>
          <w:tcPr>
            <w:tcW w:w="1155" w:type="dxa"/>
            <w:tcBorders>
              <w:top w:val="nil"/>
              <w:left w:val="nil"/>
              <w:bottom w:val="nil"/>
              <w:right w:val="nil"/>
            </w:tcBorders>
          </w:tcPr>
          <w:p w14:paraId="419E6677"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.491</w:t>
            </w:r>
          </w:p>
        </w:tc>
        <w:tc>
          <w:tcPr>
            <w:tcW w:w="1155" w:type="dxa"/>
            <w:tcBorders>
              <w:top w:val="nil"/>
              <w:left w:val="nil"/>
              <w:bottom w:val="nil"/>
              <w:right w:val="nil"/>
            </w:tcBorders>
          </w:tcPr>
          <w:p w14:paraId="74CDC59C"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w:t>
            </w:r>
          </w:p>
        </w:tc>
        <w:tc>
          <w:tcPr>
            <w:tcW w:w="1155" w:type="dxa"/>
            <w:tcBorders>
              <w:top w:val="nil"/>
              <w:left w:val="nil"/>
              <w:bottom w:val="nil"/>
              <w:right w:val="nil"/>
            </w:tcBorders>
          </w:tcPr>
          <w:p w14:paraId="1522DE78"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tc>
      </w:tr>
      <w:tr w:rsidR="002C73D0" w:rsidRPr="00826115" w14:paraId="5D6DA1B6" w14:textId="77777777" w:rsidTr="00826115">
        <w:trPr>
          <w:trHeight w:val="415"/>
        </w:trPr>
        <w:tc>
          <w:tcPr>
            <w:tcW w:w="3150" w:type="dxa"/>
            <w:tcBorders>
              <w:top w:val="nil"/>
              <w:left w:val="nil"/>
              <w:bottom w:val="nil"/>
              <w:right w:val="nil"/>
            </w:tcBorders>
          </w:tcPr>
          <w:p w14:paraId="7FB9B410" w14:textId="77777777"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 xml:space="preserve">Government </w:t>
            </w:r>
          </w:p>
        </w:tc>
        <w:tc>
          <w:tcPr>
            <w:tcW w:w="660" w:type="dxa"/>
            <w:tcBorders>
              <w:top w:val="nil"/>
              <w:left w:val="nil"/>
              <w:bottom w:val="nil"/>
              <w:right w:val="nil"/>
            </w:tcBorders>
          </w:tcPr>
          <w:p w14:paraId="123DD09D"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6878C1D1"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.023</w:t>
            </w:r>
          </w:p>
        </w:tc>
        <w:tc>
          <w:tcPr>
            <w:tcW w:w="1155" w:type="dxa"/>
            <w:tcBorders>
              <w:top w:val="nil"/>
              <w:left w:val="nil"/>
              <w:bottom w:val="nil"/>
              <w:right w:val="nil"/>
            </w:tcBorders>
          </w:tcPr>
          <w:p w14:paraId="7BB06443"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.151</w:t>
            </w:r>
          </w:p>
        </w:tc>
        <w:tc>
          <w:tcPr>
            <w:tcW w:w="1155" w:type="dxa"/>
            <w:tcBorders>
              <w:top w:val="nil"/>
              <w:left w:val="nil"/>
              <w:bottom w:val="nil"/>
              <w:right w:val="nil"/>
            </w:tcBorders>
          </w:tcPr>
          <w:p w14:paraId="3903496A"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w:t>
            </w:r>
          </w:p>
        </w:tc>
        <w:tc>
          <w:tcPr>
            <w:tcW w:w="1155" w:type="dxa"/>
            <w:tcBorders>
              <w:top w:val="nil"/>
              <w:left w:val="nil"/>
              <w:bottom w:val="nil"/>
              <w:right w:val="nil"/>
            </w:tcBorders>
          </w:tcPr>
          <w:p w14:paraId="4E2430B6"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tc>
      </w:tr>
      <w:tr w:rsidR="002C73D0" w:rsidRPr="00826115" w14:paraId="085CAE48" w14:textId="77777777" w:rsidTr="00826115">
        <w:trPr>
          <w:trHeight w:val="404"/>
        </w:trPr>
        <w:tc>
          <w:tcPr>
            <w:tcW w:w="3150" w:type="dxa"/>
            <w:tcBorders>
              <w:top w:val="nil"/>
              <w:left w:val="nil"/>
              <w:bottom w:val="nil"/>
              <w:right w:val="nil"/>
            </w:tcBorders>
          </w:tcPr>
          <w:p w14:paraId="51E1BD06" w14:textId="77777777"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 xml:space="preserve">Private </w:t>
            </w:r>
          </w:p>
        </w:tc>
        <w:tc>
          <w:tcPr>
            <w:tcW w:w="660" w:type="dxa"/>
            <w:tcBorders>
              <w:top w:val="nil"/>
              <w:left w:val="nil"/>
              <w:bottom w:val="nil"/>
              <w:right w:val="nil"/>
            </w:tcBorders>
          </w:tcPr>
          <w:p w14:paraId="5C1D7D53"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725DB370"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.47</w:t>
            </w:r>
          </w:p>
        </w:tc>
        <w:tc>
          <w:tcPr>
            <w:tcW w:w="1155" w:type="dxa"/>
            <w:tcBorders>
              <w:top w:val="nil"/>
              <w:left w:val="nil"/>
              <w:bottom w:val="nil"/>
              <w:right w:val="nil"/>
            </w:tcBorders>
          </w:tcPr>
          <w:p w14:paraId="0FB9CB2C"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.5</w:t>
            </w:r>
          </w:p>
        </w:tc>
        <w:tc>
          <w:tcPr>
            <w:tcW w:w="1155" w:type="dxa"/>
            <w:tcBorders>
              <w:top w:val="nil"/>
              <w:left w:val="nil"/>
              <w:bottom w:val="nil"/>
              <w:right w:val="nil"/>
            </w:tcBorders>
          </w:tcPr>
          <w:p w14:paraId="65B417A5"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w:t>
            </w:r>
          </w:p>
        </w:tc>
        <w:tc>
          <w:tcPr>
            <w:tcW w:w="1155" w:type="dxa"/>
            <w:tcBorders>
              <w:top w:val="nil"/>
              <w:left w:val="nil"/>
              <w:bottom w:val="nil"/>
              <w:right w:val="nil"/>
            </w:tcBorders>
          </w:tcPr>
          <w:p w14:paraId="48FC0BC7"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tc>
      </w:tr>
      <w:tr w:rsidR="002C73D0" w:rsidRPr="00826115" w14:paraId="7858641F" w14:textId="77777777" w:rsidTr="00826115">
        <w:trPr>
          <w:trHeight w:val="809"/>
        </w:trPr>
        <w:tc>
          <w:tcPr>
            <w:tcW w:w="3150" w:type="dxa"/>
            <w:tcBorders>
              <w:top w:val="nil"/>
              <w:left w:val="nil"/>
              <w:bottom w:val="nil"/>
              <w:right w:val="nil"/>
            </w:tcBorders>
          </w:tcPr>
          <w:p w14:paraId="6696C397" w14:textId="77777777"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No occupation</w:t>
            </w:r>
          </w:p>
          <w:p w14:paraId="40DA63FA" w14:textId="0BC0D1FF" w:rsidR="002C73D0" w:rsidRPr="00826115" w:rsidRDefault="00323AFB">
            <w:pPr>
              <w:widowControl w:val="0"/>
              <w:autoSpaceDE w:val="0"/>
              <w:autoSpaceDN w:val="0"/>
              <w:adjustRightInd w:val="0"/>
              <w:spacing w:after="120" w:line="240" w:lineRule="auto"/>
              <w:rPr>
                <w:rFonts w:ascii="Segoe UI" w:hAnsi="Segoe UI" w:cs="Segoe UI"/>
                <w:lang w:val="en-US"/>
              </w:rPr>
            </w:pPr>
            <w:r>
              <w:rPr>
                <w:rFonts w:ascii="Segoe UI" w:hAnsi="Segoe UI" w:cs="Segoe UI"/>
                <w:lang w:val="en-US"/>
              </w:rPr>
              <w:t xml:space="preserve">Hhd weekly </w:t>
            </w:r>
            <w:r w:rsidRPr="00826115">
              <w:rPr>
                <w:rFonts w:ascii="Segoe UI" w:hAnsi="Segoe UI" w:cs="Segoe UI"/>
                <w:lang w:val="en-US"/>
              </w:rPr>
              <w:t>Income</w:t>
            </w:r>
            <w:r w:rsidR="00826115" w:rsidRPr="00826115">
              <w:rPr>
                <w:rFonts w:ascii="Segoe UI" w:hAnsi="Segoe UI" w:cs="Segoe UI"/>
                <w:lang w:val="en-US"/>
              </w:rPr>
              <w:t xml:space="preserve"> (TZS</w:t>
            </w:r>
            <w:r w:rsidR="00826115">
              <w:rPr>
                <w:rFonts w:ascii="Segoe UI" w:hAnsi="Segoe UI" w:cs="Segoe UI"/>
                <w:lang w:val="en-US"/>
              </w:rPr>
              <w:t>).</w:t>
            </w:r>
            <w:r w:rsidRPr="00826115">
              <w:rPr>
                <w:rFonts w:ascii="Segoe UI" w:hAnsi="Segoe UI" w:cs="Segoe UI"/>
                <w:lang w:val="en-US"/>
              </w:rPr>
              <w:t xml:space="preserve">                                          </w:t>
            </w:r>
          </w:p>
        </w:tc>
        <w:tc>
          <w:tcPr>
            <w:tcW w:w="660" w:type="dxa"/>
            <w:tcBorders>
              <w:top w:val="nil"/>
              <w:left w:val="nil"/>
              <w:bottom w:val="nil"/>
              <w:right w:val="nil"/>
            </w:tcBorders>
          </w:tcPr>
          <w:p w14:paraId="153A4BC9"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p w14:paraId="787A08F3"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7CB6558C"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.107</w:t>
            </w:r>
          </w:p>
          <w:p w14:paraId="79FCE50D" w14:textId="19CB7CE4"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42</w:t>
            </w:r>
            <w:r w:rsidR="00671087">
              <w:rPr>
                <w:rFonts w:ascii="Segoe UI" w:hAnsi="Segoe UI" w:cs="Segoe UI"/>
                <w:lang w:val="en-US"/>
              </w:rPr>
              <w:t>,</w:t>
            </w:r>
            <w:r w:rsidRPr="00826115">
              <w:rPr>
                <w:rFonts w:ascii="Segoe UI" w:hAnsi="Segoe UI" w:cs="Segoe UI"/>
                <w:lang w:val="en-US"/>
              </w:rPr>
              <w:t>712.5</w:t>
            </w:r>
          </w:p>
        </w:tc>
        <w:tc>
          <w:tcPr>
            <w:tcW w:w="1155" w:type="dxa"/>
            <w:tcBorders>
              <w:top w:val="nil"/>
              <w:left w:val="nil"/>
              <w:bottom w:val="nil"/>
              <w:right w:val="nil"/>
            </w:tcBorders>
          </w:tcPr>
          <w:p w14:paraId="75EC140A"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.309</w:t>
            </w:r>
          </w:p>
          <w:p w14:paraId="7CC9A842" w14:textId="1A3C63C0"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91</w:t>
            </w:r>
            <w:r w:rsidR="00671087">
              <w:rPr>
                <w:rFonts w:ascii="Segoe UI" w:hAnsi="Segoe UI" w:cs="Segoe UI"/>
                <w:lang w:val="en-US"/>
              </w:rPr>
              <w:t>,</w:t>
            </w:r>
            <w:r w:rsidRPr="00826115">
              <w:rPr>
                <w:rFonts w:ascii="Segoe UI" w:hAnsi="Segoe UI" w:cs="Segoe UI"/>
                <w:lang w:val="en-US"/>
              </w:rPr>
              <w:t>913.73</w:t>
            </w:r>
          </w:p>
        </w:tc>
        <w:tc>
          <w:tcPr>
            <w:tcW w:w="1155" w:type="dxa"/>
            <w:tcBorders>
              <w:top w:val="nil"/>
              <w:left w:val="nil"/>
              <w:bottom w:val="nil"/>
              <w:right w:val="nil"/>
            </w:tcBorders>
          </w:tcPr>
          <w:p w14:paraId="5F48EA14"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0</w:t>
            </w:r>
          </w:p>
          <w:p w14:paraId="0B48F615" w14:textId="5EFFE68C"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2</w:t>
            </w:r>
            <w:r w:rsidR="00671087">
              <w:rPr>
                <w:rFonts w:ascii="Segoe UI" w:hAnsi="Segoe UI" w:cs="Segoe UI"/>
                <w:lang w:val="en-US"/>
              </w:rPr>
              <w:t>,</w:t>
            </w:r>
            <w:r w:rsidRPr="00826115">
              <w:rPr>
                <w:rFonts w:ascii="Segoe UI" w:hAnsi="Segoe UI" w:cs="Segoe UI"/>
                <w:lang w:val="en-US"/>
              </w:rPr>
              <w:t>500</w:t>
            </w:r>
          </w:p>
        </w:tc>
        <w:tc>
          <w:tcPr>
            <w:tcW w:w="1155" w:type="dxa"/>
            <w:tcBorders>
              <w:top w:val="nil"/>
              <w:left w:val="nil"/>
              <w:bottom w:val="nil"/>
              <w:right w:val="nil"/>
            </w:tcBorders>
          </w:tcPr>
          <w:p w14:paraId="09153DED"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p w14:paraId="0EF56CB7" w14:textId="75A53C1C"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r w:rsidR="00671087">
              <w:rPr>
                <w:rFonts w:ascii="Segoe UI" w:hAnsi="Segoe UI" w:cs="Segoe UI"/>
                <w:lang w:val="en-US"/>
              </w:rPr>
              <w:t>,</w:t>
            </w:r>
            <w:r w:rsidRPr="00826115">
              <w:rPr>
                <w:rFonts w:ascii="Segoe UI" w:hAnsi="Segoe UI" w:cs="Segoe UI"/>
                <w:lang w:val="en-US"/>
              </w:rPr>
              <w:t>500</w:t>
            </w:r>
            <w:r w:rsidR="00671087">
              <w:rPr>
                <w:rFonts w:ascii="Segoe UI" w:hAnsi="Segoe UI" w:cs="Segoe UI"/>
                <w:lang w:val="en-US"/>
              </w:rPr>
              <w:t>,</w:t>
            </w:r>
            <w:r w:rsidRPr="00826115">
              <w:rPr>
                <w:rFonts w:ascii="Segoe UI" w:hAnsi="Segoe UI" w:cs="Segoe UI"/>
                <w:lang w:val="en-US"/>
              </w:rPr>
              <w:t>000</w:t>
            </w:r>
          </w:p>
        </w:tc>
      </w:tr>
      <w:tr w:rsidR="002C73D0" w:rsidRPr="00826115" w14:paraId="79C40E65" w14:textId="77777777" w:rsidTr="00826115">
        <w:trPr>
          <w:trHeight w:val="415"/>
        </w:trPr>
        <w:tc>
          <w:tcPr>
            <w:tcW w:w="3150" w:type="dxa"/>
            <w:tcBorders>
              <w:top w:val="nil"/>
              <w:left w:val="nil"/>
              <w:bottom w:val="nil"/>
              <w:right w:val="nil"/>
            </w:tcBorders>
          </w:tcPr>
          <w:p w14:paraId="7205E994" w14:textId="2D0FA851"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Distance to market (min</w:t>
            </w:r>
            <w:r w:rsidR="00826115">
              <w:rPr>
                <w:rFonts w:ascii="Segoe UI" w:hAnsi="Segoe UI" w:cs="Segoe UI"/>
                <w:lang w:val="en-US"/>
              </w:rPr>
              <w:t>utes</w:t>
            </w:r>
            <w:r w:rsidRPr="00826115">
              <w:rPr>
                <w:rFonts w:ascii="Segoe UI" w:hAnsi="Segoe UI" w:cs="Segoe UI"/>
                <w:lang w:val="en-US"/>
              </w:rPr>
              <w:t>)</w:t>
            </w:r>
          </w:p>
        </w:tc>
        <w:tc>
          <w:tcPr>
            <w:tcW w:w="660" w:type="dxa"/>
            <w:tcBorders>
              <w:top w:val="nil"/>
              <w:left w:val="nil"/>
              <w:bottom w:val="nil"/>
              <w:right w:val="nil"/>
            </w:tcBorders>
          </w:tcPr>
          <w:p w14:paraId="67DEB764"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662E756E"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24.237</w:t>
            </w:r>
          </w:p>
        </w:tc>
        <w:tc>
          <w:tcPr>
            <w:tcW w:w="1155" w:type="dxa"/>
            <w:tcBorders>
              <w:top w:val="nil"/>
              <w:left w:val="nil"/>
              <w:bottom w:val="nil"/>
              <w:right w:val="nil"/>
            </w:tcBorders>
          </w:tcPr>
          <w:p w14:paraId="1F5BF1B4"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24.071</w:t>
            </w:r>
          </w:p>
        </w:tc>
        <w:tc>
          <w:tcPr>
            <w:tcW w:w="1155" w:type="dxa"/>
            <w:tcBorders>
              <w:top w:val="nil"/>
              <w:left w:val="nil"/>
              <w:bottom w:val="nil"/>
              <w:right w:val="nil"/>
            </w:tcBorders>
          </w:tcPr>
          <w:p w14:paraId="255439B8"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tc>
        <w:tc>
          <w:tcPr>
            <w:tcW w:w="1155" w:type="dxa"/>
            <w:tcBorders>
              <w:top w:val="nil"/>
              <w:left w:val="nil"/>
              <w:bottom w:val="nil"/>
              <w:right w:val="nil"/>
            </w:tcBorders>
          </w:tcPr>
          <w:p w14:paraId="2B370B95"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180</w:t>
            </w:r>
          </w:p>
        </w:tc>
      </w:tr>
      <w:tr w:rsidR="002C73D0" w:rsidRPr="00826115" w14:paraId="0EA67A83" w14:textId="77777777" w:rsidTr="00826115">
        <w:trPr>
          <w:trHeight w:val="404"/>
        </w:trPr>
        <w:tc>
          <w:tcPr>
            <w:tcW w:w="3150" w:type="dxa"/>
            <w:tcBorders>
              <w:top w:val="nil"/>
              <w:left w:val="nil"/>
              <w:bottom w:val="nil"/>
              <w:right w:val="nil"/>
            </w:tcBorders>
          </w:tcPr>
          <w:p w14:paraId="71692C87" w14:textId="4CB8EB0A" w:rsidR="002C73D0" w:rsidRPr="00826115" w:rsidRDefault="00000000">
            <w:pPr>
              <w:widowControl w:val="0"/>
              <w:autoSpaceDE w:val="0"/>
              <w:autoSpaceDN w:val="0"/>
              <w:adjustRightInd w:val="0"/>
              <w:spacing w:after="120" w:line="240" w:lineRule="auto"/>
              <w:rPr>
                <w:rFonts w:ascii="Segoe UI" w:hAnsi="Segoe UI" w:cs="Segoe UI"/>
                <w:lang w:val="en-US"/>
              </w:rPr>
            </w:pPr>
            <w:r w:rsidRPr="00826115">
              <w:rPr>
                <w:rFonts w:ascii="Segoe UI" w:hAnsi="Segoe UI" w:cs="Segoe UI"/>
                <w:lang w:val="en-US"/>
              </w:rPr>
              <w:t>Distance to major road</w:t>
            </w:r>
            <w:r w:rsidR="00826115">
              <w:rPr>
                <w:rFonts w:ascii="Segoe UI" w:hAnsi="Segoe UI" w:cs="Segoe UI"/>
                <w:lang w:val="en-US"/>
              </w:rPr>
              <w:t xml:space="preserve"> </w:t>
            </w:r>
            <w:r w:rsidRPr="00826115">
              <w:rPr>
                <w:rFonts w:ascii="Segoe UI" w:hAnsi="Segoe UI" w:cs="Segoe UI"/>
                <w:lang w:val="en-US"/>
              </w:rPr>
              <w:t>(min)</w:t>
            </w:r>
          </w:p>
        </w:tc>
        <w:tc>
          <w:tcPr>
            <w:tcW w:w="660" w:type="dxa"/>
            <w:tcBorders>
              <w:top w:val="nil"/>
              <w:left w:val="nil"/>
              <w:bottom w:val="nil"/>
              <w:right w:val="nil"/>
            </w:tcBorders>
          </w:tcPr>
          <w:p w14:paraId="6ADE3059"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300</w:t>
            </w:r>
          </w:p>
        </w:tc>
        <w:tc>
          <w:tcPr>
            <w:tcW w:w="1155" w:type="dxa"/>
            <w:tcBorders>
              <w:top w:val="nil"/>
              <w:left w:val="nil"/>
              <w:bottom w:val="nil"/>
              <w:right w:val="nil"/>
            </w:tcBorders>
          </w:tcPr>
          <w:p w14:paraId="68F1C988"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15.203</w:t>
            </w:r>
          </w:p>
        </w:tc>
        <w:tc>
          <w:tcPr>
            <w:tcW w:w="1155" w:type="dxa"/>
            <w:tcBorders>
              <w:top w:val="nil"/>
              <w:left w:val="nil"/>
              <w:bottom w:val="nil"/>
              <w:right w:val="nil"/>
            </w:tcBorders>
          </w:tcPr>
          <w:p w14:paraId="1ECD4258"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22.085</w:t>
            </w:r>
          </w:p>
        </w:tc>
        <w:tc>
          <w:tcPr>
            <w:tcW w:w="1155" w:type="dxa"/>
            <w:tcBorders>
              <w:top w:val="nil"/>
              <w:left w:val="nil"/>
              <w:bottom w:val="nil"/>
              <w:right w:val="nil"/>
            </w:tcBorders>
          </w:tcPr>
          <w:p w14:paraId="4376FEF0"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w:t>
            </w:r>
          </w:p>
        </w:tc>
        <w:tc>
          <w:tcPr>
            <w:tcW w:w="1155" w:type="dxa"/>
            <w:tcBorders>
              <w:top w:val="nil"/>
              <w:left w:val="nil"/>
              <w:bottom w:val="nil"/>
              <w:right w:val="nil"/>
            </w:tcBorders>
          </w:tcPr>
          <w:p w14:paraId="471F1647" w14:textId="77777777" w:rsidR="002C73D0" w:rsidRPr="00826115" w:rsidRDefault="00000000">
            <w:pPr>
              <w:widowControl w:val="0"/>
              <w:autoSpaceDE w:val="0"/>
              <w:autoSpaceDN w:val="0"/>
              <w:adjustRightInd w:val="0"/>
              <w:spacing w:after="120" w:line="240" w:lineRule="auto"/>
              <w:jc w:val="right"/>
              <w:rPr>
                <w:rFonts w:ascii="Segoe UI" w:hAnsi="Segoe UI" w:cs="Segoe UI"/>
                <w:lang w:val="en-US"/>
              </w:rPr>
            </w:pPr>
            <w:r w:rsidRPr="00826115">
              <w:rPr>
                <w:rFonts w:ascii="Segoe UI" w:hAnsi="Segoe UI" w:cs="Segoe UI"/>
                <w:lang w:val="en-US"/>
              </w:rPr>
              <w:t>180</w:t>
            </w:r>
          </w:p>
        </w:tc>
      </w:tr>
    </w:tbl>
    <w:p w14:paraId="23B6A977" w14:textId="77777777" w:rsidR="002C73D0" w:rsidRDefault="002C73D0">
      <w:pPr>
        <w:spacing w:after="120" w:line="240" w:lineRule="auto"/>
        <w:rPr>
          <w:rFonts w:ascii="Segoe UI" w:hAnsi="Segoe UI" w:cs="Segoe UI"/>
          <w:b/>
          <w:lang w:val="en-US"/>
        </w:rPr>
      </w:pPr>
    </w:p>
    <w:p w14:paraId="0DEB1C6F" w14:textId="3661AC29" w:rsidR="00FA36E7" w:rsidRPr="00FA36E7" w:rsidRDefault="00FA36E7" w:rsidP="00FA36E7">
      <w:pPr>
        <w:spacing w:after="120" w:line="240" w:lineRule="auto"/>
        <w:jc w:val="both"/>
        <w:rPr>
          <w:rFonts w:ascii="Segoe UI" w:hAnsi="Segoe UI" w:cs="Segoe UI"/>
          <w:sz w:val="24"/>
          <w:szCs w:val="24"/>
          <w:lang w:val="en-US"/>
        </w:rPr>
      </w:pPr>
      <w:r w:rsidRPr="00FA36E7">
        <w:rPr>
          <w:rFonts w:ascii="Segoe UI" w:hAnsi="Segoe UI" w:cs="Segoe UI"/>
          <w:sz w:val="24"/>
          <w:szCs w:val="24"/>
          <w:lang w:val="en-US"/>
        </w:rPr>
        <w:lastRenderedPageBreak/>
        <w:t>The surveyed households had an average size of 5 members, with household sizes ranging from a minimum of 1 to a maximum of 16 members. The gender distribution of household heads shows that 73.3% of the households are male-headed, while 26.7% are female-headed. 73.7% of the household heads are married, highlighting a relatively high level of marital stability within the sample. The average age of household heads is 41.32 years, with ages ranging from 18 to 85 years.</w:t>
      </w:r>
    </w:p>
    <w:p w14:paraId="32DC1C7C" w14:textId="7737ED85" w:rsidR="00FA36E7" w:rsidRPr="00FA36E7" w:rsidRDefault="00FA36E7" w:rsidP="00FA36E7">
      <w:pPr>
        <w:spacing w:after="120" w:line="240" w:lineRule="auto"/>
        <w:jc w:val="both"/>
        <w:rPr>
          <w:rFonts w:ascii="Segoe UI" w:hAnsi="Segoe UI" w:cs="Segoe UI"/>
          <w:sz w:val="24"/>
          <w:szCs w:val="24"/>
          <w:lang w:val="en-US"/>
        </w:rPr>
      </w:pPr>
      <w:r w:rsidRPr="00FA36E7">
        <w:rPr>
          <w:rFonts w:ascii="Segoe UI" w:hAnsi="Segoe UI" w:cs="Segoe UI"/>
          <w:sz w:val="24"/>
          <w:szCs w:val="24"/>
          <w:lang w:val="en-US"/>
        </w:rPr>
        <w:t>In terms of education, a significant portion of household heads has completed primary education (61.3%), while 26% have secondary education, and a smaller fraction, 3.7%, have attained tertiary education. Notably, 9% of the household heads have no formal education, which may impact their access to information about nutrition and food security.</w:t>
      </w:r>
    </w:p>
    <w:p w14:paraId="25A98C61" w14:textId="6E055E46" w:rsidR="00FA36E7" w:rsidRPr="00FA36E7" w:rsidRDefault="00FA36E7" w:rsidP="00FA36E7">
      <w:pPr>
        <w:spacing w:after="120" w:line="240" w:lineRule="auto"/>
        <w:jc w:val="both"/>
        <w:rPr>
          <w:rFonts w:ascii="Segoe UI" w:hAnsi="Segoe UI" w:cs="Segoe UI"/>
          <w:sz w:val="24"/>
          <w:szCs w:val="24"/>
          <w:lang w:val="en-US"/>
        </w:rPr>
      </w:pPr>
      <w:r w:rsidRPr="00FA36E7">
        <w:rPr>
          <w:rFonts w:ascii="Segoe UI" w:hAnsi="Segoe UI" w:cs="Segoe UI"/>
          <w:sz w:val="24"/>
          <w:szCs w:val="24"/>
          <w:lang w:val="en-US"/>
        </w:rPr>
        <w:t xml:space="preserve">Regarding </w:t>
      </w:r>
      <w:r>
        <w:rPr>
          <w:rFonts w:ascii="Segoe UI" w:hAnsi="Segoe UI" w:cs="Segoe UI"/>
          <w:sz w:val="24"/>
          <w:szCs w:val="24"/>
          <w:lang w:val="en-US"/>
        </w:rPr>
        <w:t xml:space="preserve">main </w:t>
      </w:r>
      <w:r w:rsidRPr="00FA36E7">
        <w:rPr>
          <w:rFonts w:ascii="Segoe UI" w:hAnsi="Segoe UI" w:cs="Segoe UI"/>
          <w:sz w:val="24"/>
          <w:szCs w:val="24"/>
          <w:lang w:val="en-US"/>
        </w:rPr>
        <w:t>occupations, 40% of the household heads are engaged in agriculture, 47% work in the private sector, and 2.3% are employed in government positions. Additionally, 10.7% of the household heads reported having no formal occupation.</w:t>
      </w:r>
    </w:p>
    <w:p w14:paraId="747B2B85" w14:textId="0FF4E030" w:rsidR="00FA36E7" w:rsidRPr="00FA36E7" w:rsidRDefault="00FA36E7" w:rsidP="00FA36E7">
      <w:pPr>
        <w:spacing w:after="120" w:line="240" w:lineRule="auto"/>
        <w:jc w:val="both"/>
        <w:rPr>
          <w:rFonts w:ascii="Segoe UI" w:hAnsi="Segoe UI" w:cs="Segoe UI"/>
          <w:sz w:val="24"/>
          <w:szCs w:val="24"/>
          <w:lang w:val="en-US"/>
        </w:rPr>
      </w:pPr>
      <w:r w:rsidRPr="00FA36E7">
        <w:rPr>
          <w:rFonts w:ascii="Segoe UI" w:hAnsi="Segoe UI" w:cs="Segoe UI"/>
          <w:sz w:val="24"/>
          <w:szCs w:val="24"/>
          <w:lang w:val="en-US"/>
        </w:rPr>
        <w:t xml:space="preserve">The average weekly household income is approximately TZS 42,712.50, with a wide range observed from TZS </w:t>
      </w:r>
      <w:r>
        <w:rPr>
          <w:rFonts w:ascii="Segoe UI" w:hAnsi="Segoe UI" w:cs="Segoe UI"/>
          <w:sz w:val="24"/>
          <w:szCs w:val="24"/>
          <w:lang w:val="en-US"/>
        </w:rPr>
        <w:t>2,500</w:t>
      </w:r>
      <w:r w:rsidRPr="00FA36E7">
        <w:rPr>
          <w:rFonts w:ascii="Segoe UI" w:hAnsi="Segoe UI" w:cs="Segoe UI"/>
          <w:sz w:val="24"/>
          <w:szCs w:val="24"/>
          <w:lang w:val="en-US"/>
        </w:rPr>
        <w:t xml:space="preserve"> to TZS 1,500,000. This variation suggests significant income disparities that could influence the purchasing power for nutritious foods.</w:t>
      </w:r>
    </w:p>
    <w:p w14:paraId="4E4CE230" w14:textId="77777777" w:rsidR="00FA36E7" w:rsidRPr="00FA36E7" w:rsidRDefault="00FA36E7" w:rsidP="00FA36E7">
      <w:pPr>
        <w:spacing w:after="120" w:line="240" w:lineRule="auto"/>
        <w:jc w:val="both"/>
        <w:rPr>
          <w:rFonts w:ascii="Segoe UI" w:hAnsi="Segoe UI" w:cs="Segoe UI"/>
          <w:sz w:val="24"/>
          <w:szCs w:val="24"/>
          <w:lang w:val="en-US"/>
        </w:rPr>
      </w:pPr>
      <w:r w:rsidRPr="00FA36E7">
        <w:rPr>
          <w:rFonts w:ascii="Segoe UI" w:hAnsi="Segoe UI" w:cs="Segoe UI"/>
          <w:sz w:val="24"/>
          <w:szCs w:val="24"/>
          <w:lang w:val="en-US"/>
        </w:rPr>
        <w:t>On average, households are situated 24 minutes away from the nearest market and 15 minutes from a major road, which may affect the accessibility and affordability of food, particularly for rural households.</w:t>
      </w:r>
    </w:p>
    <w:p w14:paraId="6EFC401F" w14:textId="77777777" w:rsidR="00FA36E7" w:rsidRDefault="00FA36E7" w:rsidP="00FA36E7">
      <w:pPr>
        <w:spacing w:after="120" w:line="240" w:lineRule="auto"/>
        <w:jc w:val="both"/>
        <w:rPr>
          <w:rFonts w:ascii="Segoe UI" w:hAnsi="Segoe UI" w:cs="Segoe UI"/>
          <w:sz w:val="24"/>
          <w:szCs w:val="24"/>
          <w:lang w:val="en-US"/>
        </w:rPr>
      </w:pPr>
      <w:r w:rsidRPr="00FA36E7">
        <w:rPr>
          <w:rFonts w:ascii="Segoe UI" w:hAnsi="Segoe UI" w:cs="Segoe UI"/>
          <w:sz w:val="24"/>
          <w:szCs w:val="24"/>
          <w:lang w:val="en-US"/>
        </w:rPr>
        <w:t>These summary statistics provide essential context for understanding the socio-economic and demographic factors that contribute to food access and consumption patterns in the study areas.</w:t>
      </w:r>
    </w:p>
    <w:p w14:paraId="7D1182B8" w14:textId="0CC85A73" w:rsidR="002C73D0" w:rsidRDefault="00000000">
      <w:pPr>
        <w:pStyle w:val="Heading1"/>
        <w:numPr>
          <w:ilvl w:val="0"/>
          <w:numId w:val="1"/>
        </w:numPr>
        <w:spacing w:before="360" w:after="180" w:line="240" w:lineRule="auto"/>
        <w:rPr>
          <w:rFonts w:ascii="Segoe UI" w:hAnsi="Segoe UI" w:cs="Segoe UI"/>
          <w:color w:val="538135" w:themeColor="accent6" w:themeShade="BF"/>
          <w:sz w:val="32"/>
          <w:szCs w:val="32"/>
        </w:rPr>
      </w:pPr>
      <w:r>
        <w:rPr>
          <w:rFonts w:ascii="Segoe UI" w:hAnsi="Segoe UI" w:cs="Segoe UI"/>
          <w:color w:val="538135" w:themeColor="accent6" w:themeShade="BF"/>
          <w:sz w:val="32"/>
          <w:szCs w:val="32"/>
        </w:rPr>
        <w:t>Results</w:t>
      </w:r>
    </w:p>
    <w:p w14:paraId="15474001" w14:textId="721EBBF1" w:rsidR="008373D5" w:rsidRPr="008373D5" w:rsidRDefault="008373D5" w:rsidP="001A54A5">
      <w:pPr>
        <w:spacing w:after="120" w:line="240" w:lineRule="auto"/>
        <w:jc w:val="both"/>
        <w:rPr>
          <w:rFonts w:ascii="Segoe UI" w:hAnsi="Segoe UI" w:cs="Segoe UI"/>
          <w:sz w:val="24"/>
          <w:szCs w:val="24"/>
          <w:lang w:val="en-US"/>
        </w:rPr>
      </w:pPr>
      <w:r w:rsidRPr="008373D5">
        <w:rPr>
          <w:rFonts w:ascii="Segoe UI" w:hAnsi="Segoe UI" w:cs="Segoe UI"/>
          <w:sz w:val="24"/>
          <w:szCs w:val="24"/>
          <w:lang w:val="en-US"/>
        </w:rPr>
        <w:t>This section presents the results</w:t>
      </w:r>
      <w:r w:rsidR="001A54A5">
        <w:rPr>
          <w:rFonts w:ascii="Segoe UI" w:hAnsi="Segoe UI" w:cs="Segoe UI"/>
          <w:sz w:val="24"/>
          <w:szCs w:val="24"/>
          <w:lang w:val="en-US"/>
        </w:rPr>
        <w:t xml:space="preserve"> </w:t>
      </w:r>
      <w:r w:rsidRPr="008373D5">
        <w:rPr>
          <w:rFonts w:ascii="Segoe UI" w:hAnsi="Segoe UI" w:cs="Segoe UI"/>
          <w:sz w:val="24"/>
          <w:szCs w:val="24"/>
          <w:lang w:val="en-US"/>
        </w:rPr>
        <w:t xml:space="preserve">of the study, focusing on gendered patterns in food consumption, awareness, and accessibility. It examines the influence of nutrition training, decision-making processes, and economic constraints on food choices. </w:t>
      </w:r>
      <w:r w:rsidRPr="001A54A5">
        <w:rPr>
          <w:rFonts w:ascii="Segoe UI" w:hAnsi="Segoe UI" w:cs="Segoe UI"/>
          <w:sz w:val="24"/>
          <w:szCs w:val="24"/>
          <w:lang w:val="en-US"/>
        </w:rPr>
        <w:t xml:space="preserve">Additionally, it explores perceptions of food prices and adaptive strategies employed by male- and female-headed households </w:t>
      </w:r>
      <w:r w:rsidR="001A54A5" w:rsidRPr="001A54A5">
        <w:rPr>
          <w:rFonts w:ascii="Segoe UI" w:hAnsi="Segoe UI" w:cs="Segoe UI"/>
          <w:sz w:val="24"/>
          <w:szCs w:val="24"/>
          <w:lang w:val="en-US"/>
        </w:rPr>
        <w:t xml:space="preserve">and men and women within household </w:t>
      </w:r>
      <w:r w:rsidRPr="001A54A5">
        <w:rPr>
          <w:rFonts w:ascii="Segoe UI" w:hAnsi="Segoe UI" w:cs="Segoe UI"/>
          <w:sz w:val="24"/>
          <w:szCs w:val="24"/>
          <w:lang w:val="en-US"/>
        </w:rPr>
        <w:t>to cope with food affordability challenges.</w:t>
      </w:r>
    </w:p>
    <w:p w14:paraId="23D0CD6C" w14:textId="77777777" w:rsidR="002C73D0" w:rsidRDefault="00000000">
      <w:pPr>
        <w:pStyle w:val="Heading2"/>
        <w:spacing w:before="120" w:after="180" w:line="240" w:lineRule="auto"/>
        <w:rPr>
          <w:rFonts w:ascii="Segoe UI" w:hAnsi="Segoe UI" w:cs="Segoe UI"/>
          <w:color w:val="A8D08D" w:themeColor="accent6" w:themeTint="99"/>
          <w:sz w:val="26"/>
          <w:szCs w:val="26"/>
        </w:rPr>
      </w:pPr>
      <w:bookmarkStart w:id="3" w:name="_Hlk183627710"/>
      <w:r>
        <w:rPr>
          <w:rFonts w:ascii="Segoe UI" w:hAnsi="Segoe UI" w:cs="Segoe UI"/>
          <w:sz w:val="26"/>
          <w:szCs w:val="26"/>
        </w:rPr>
        <w:t>3.1 Nutrition Training, Awareness and Food Consumption Decision-Making</w:t>
      </w:r>
      <w:r>
        <w:rPr>
          <w:rFonts w:ascii="Segoe UI" w:hAnsi="Segoe UI" w:cs="Segoe UI"/>
          <w:color w:val="A8D08D" w:themeColor="accent6" w:themeTint="99"/>
          <w:sz w:val="26"/>
          <w:szCs w:val="26"/>
        </w:rPr>
        <w:t xml:space="preserve"> </w:t>
      </w:r>
    </w:p>
    <w:bookmarkEnd w:id="3"/>
    <w:p w14:paraId="1C657663" w14:textId="5117B367" w:rsidR="002C73D0" w:rsidRDefault="00000000">
      <w:pPr>
        <w:spacing w:after="120" w:line="240" w:lineRule="auto"/>
        <w:jc w:val="both"/>
        <w:rPr>
          <w:rFonts w:ascii="Segoe UI" w:hAnsi="Segoe UI" w:cs="Segoe UI"/>
          <w:sz w:val="24"/>
          <w:szCs w:val="24"/>
          <w:lang w:val="en-US"/>
        </w:rPr>
      </w:pPr>
      <w:r>
        <w:rPr>
          <w:rFonts w:ascii="Segoe UI" w:hAnsi="Segoe UI" w:cs="Segoe UI"/>
          <w:sz w:val="24"/>
          <w:szCs w:val="24"/>
          <w:lang w:val="en-US"/>
        </w:rPr>
        <w:t>This section explores the gender disparities in nutrition training, awareness, and decision-making processes regarding food consumption within households, focusing on how these factors influence dietary patterns.</w:t>
      </w:r>
    </w:p>
    <w:p w14:paraId="7B7B78BF"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1: Nutrition Training Participation and Gender Role Contents</w:t>
      </w:r>
    </w:p>
    <w:tbl>
      <w:tblPr>
        <w:tblW w:w="9359" w:type="dxa"/>
        <w:tblInd w:w="96" w:type="dxa"/>
        <w:tblLayout w:type="fixed"/>
        <w:tblLook w:val="04A0" w:firstRow="1" w:lastRow="0" w:firstColumn="1" w:lastColumn="0" w:noHBand="0" w:noVBand="1"/>
      </w:tblPr>
      <w:tblGrid>
        <w:gridCol w:w="873"/>
        <w:gridCol w:w="1359"/>
        <w:gridCol w:w="1165"/>
        <w:gridCol w:w="1224"/>
        <w:gridCol w:w="1688"/>
        <w:gridCol w:w="1359"/>
        <w:gridCol w:w="1691"/>
      </w:tblGrid>
      <w:tr w:rsidR="002C73D0" w14:paraId="3EBAF915" w14:textId="77777777">
        <w:trPr>
          <w:trHeight w:val="207"/>
        </w:trPr>
        <w:tc>
          <w:tcPr>
            <w:tcW w:w="87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D42DD9" w14:textId="77777777" w:rsidR="002C73D0" w:rsidRDefault="002C73D0">
            <w:pPr>
              <w:spacing w:after="120" w:line="240" w:lineRule="auto"/>
              <w:jc w:val="center"/>
              <w:textAlignment w:val="center"/>
              <w:rPr>
                <w:rFonts w:ascii="Segoe UI" w:eastAsia="SimSun" w:hAnsi="Segoe UI" w:cs="Segoe UI"/>
                <w:color w:val="000000"/>
                <w:lang w:val="en-US" w:eastAsia="zh-CN" w:bidi="ar"/>
              </w:rPr>
            </w:pPr>
          </w:p>
        </w:tc>
        <w:tc>
          <w:tcPr>
            <w:tcW w:w="374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EFBE6A"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eastAsia="zh-CN" w:bidi="ar"/>
              </w:rPr>
              <w:t>Training</w:t>
            </w:r>
            <w:r>
              <w:rPr>
                <w:rFonts w:ascii="Segoe UI" w:eastAsia="SimSun" w:hAnsi="Segoe UI" w:cs="Segoe UI"/>
                <w:color w:val="000000"/>
                <w:lang w:val="en-US" w:eastAsia="zh-CN" w:bidi="ar"/>
              </w:rPr>
              <w:t xml:space="preserve"> on nutrition</w:t>
            </w:r>
          </w:p>
        </w:tc>
        <w:tc>
          <w:tcPr>
            <w:tcW w:w="473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68C785"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 xml:space="preserve">Did the </w:t>
            </w:r>
            <w:r>
              <w:rPr>
                <w:rFonts w:ascii="Segoe UI" w:eastAsia="SimSun" w:hAnsi="Segoe UI" w:cs="Segoe UI"/>
                <w:color w:val="000000"/>
                <w:lang w:eastAsia="zh-CN" w:bidi="ar"/>
              </w:rPr>
              <w:t>training</w:t>
            </w:r>
            <w:r>
              <w:rPr>
                <w:rFonts w:ascii="Segoe UI" w:eastAsia="SimSun" w:hAnsi="Segoe UI" w:cs="Segoe UI"/>
                <w:color w:val="000000"/>
                <w:lang w:val="en-US" w:eastAsia="zh-CN" w:bidi="ar"/>
              </w:rPr>
              <w:t xml:space="preserve"> involve aspects of gender role</w:t>
            </w:r>
          </w:p>
        </w:tc>
      </w:tr>
      <w:tr w:rsidR="002C73D0" w14:paraId="1C7B2EF0" w14:textId="77777777">
        <w:trPr>
          <w:trHeight w:val="279"/>
        </w:trPr>
        <w:tc>
          <w:tcPr>
            <w:tcW w:w="873" w:type="dxa"/>
            <w:vMerge/>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F26436" w14:textId="77777777" w:rsidR="002C73D0" w:rsidRDefault="002C73D0">
            <w:pPr>
              <w:spacing w:after="120" w:line="240" w:lineRule="auto"/>
              <w:jc w:val="center"/>
              <w:textAlignment w:val="center"/>
              <w:rPr>
                <w:rFonts w:ascii="Segoe UI" w:eastAsia="SimSun" w:hAnsi="Segoe UI" w:cs="Segoe UI"/>
                <w:color w:val="000000"/>
                <w:lang w:val="en-US" w:eastAsia="zh-CN" w:bidi="ar"/>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FB2D54"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Female-headed</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06D4D1"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Male-headed</w:t>
            </w:r>
          </w:p>
        </w:tc>
        <w:tc>
          <w:tcPr>
            <w:tcW w:w="12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1F45F1"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Total</w:t>
            </w:r>
          </w:p>
        </w:tc>
        <w:tc>
          <w:tcPr>
            <w:tcW w:w="168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CB1D99"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Female-headed</w:t>
            </w:r>
          </w:p>
        </w:tc>
        <w:tc>
          <w:tcPr>
            <w:tcW w:w="13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3B3166"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Male-headed</w:t>
            </w:r>
          </w:p>
        </w:tc>
        <w:tc>
          <w:tcPr>
            <w:tcW w:w="16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E30673"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Total</w:t>
            </w:r>
          </w:p>
        </w:tc>
      </w:tr>
      <w:tr w:rsidR="002C73D0" w14:paraId="3863DA97" w14:textId="77777777">
        <w:trPr>
          <w:trHeight w:val="207"/>
        </w:trPr>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C479C4"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Yes</w:t>
            </w:r>
          </w:p>
        </w:tc>
        <w:tc>
          <w:tcPr>
            <w:tcW w:w="13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80201B"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30</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5C85B9"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45.45</w:t>
            </w:r>
          </w:p>
        </w:tc>
        <w:tc>
          <w:tcPr>
            <w:tcW w:w="12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82E2D8"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41.33</w:t>
            </w:r>
          </w:p>
        </w:tc>
        <w:tc>
          <w:tcPr>
            <w:tcW w:w="168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45741A"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50</w:t>
            </w:r>
          </w:p>
        </w:tc>
        <w:tc>
          <w:tcPr>
            <w:tcW w:w="13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83D80B"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40</w:t>
            </w:r>
          </w:p>
        </w:tc>
        <w:tc>
          <w:tcPr>
            <w:tcW w:w="16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040C97"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41.94</w:t>
            </w:r>
          </w:p>
        </w:tc>
      </w:tr>
      <w:tr w:rsidR="002C73D0" w14:paraId="46BBA7DB" w14:textId="77777777">
        <w:trPr>
          <w:trHeight w:val="219"/>
        </w:trPr>
        <w:tc>
          <w:tcPr>
            <w:tcW w:w="87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C5B59C"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No</w:t>
            </w:r>
          </w:p>
        </w:tc>
        <w:tc>
          <w:tcPr>
            <w:tcW w:w="13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D50AF2"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70</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11C79E"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54.55</w:t>
            </w:r>
          </w:p>
        </w:tc>
        <w:tc>
          <w:tcPr>
            <w:tcW w:w="12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23F336"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58.67</w:t>
            </w:r>
          </w:p>
        </w:tc>
        <w:tc>
          <w:tcPr>
            <w:tcW w:w="168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3606EE"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50</w:t>
            </w:r>
          </w:p>
        </w:tc>
        <w:tc>
          <w:tcPr>
            <w:tcW w:w="13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B4A7A9"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60</w:t>
            </w:r>
          </w:p>
        </w:tc>
        <w:tc>
          <w:tcPr>
            <w:tcW w:w="16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90D802"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58.06</w:t>
            </w:r>
          </w:p>
        </w:tc>
      </w:tr>
    </w:tbl>
    <w:p w14:paraId="6F9EE5E5" w14:textId="77777777" w:rsidR="008373D5" w:rsidRDefault="008373D5">
      <w:pPr>
        <w:spacing w:after="120" w:line="240" w:lineRule="auto"/>
        <w:jc w:val="both"/>
        <w:rPr>
          <w:rFonts w:ascii="Segoe UI" w:hAnsi="Segoe UI" w:cs="Segoe UI"/>
          <w:sz w:val="24"/>
          <w:szCs w:val="24"/>
          <w:lang w:val="en-US"/>
        </w:rPr>
      </w:pPr>
    </w:p>
    <w:p w14:paraId="28236250" w14:textId="3DFB6001" w:rsidR="002C73D0" w:rsidRDefault="00000000">
      <w:pPr>
        <w:spacing w:after="120" w:line="240" w:lineRule="auto"/>
        <w:jc w:val="both"/>
        <w:rPr>
          <w:rFonts w:ascii="Segoe UI" w:hAnsi="Segoe UI" w:cs="Segoe UI"/>
          <w:sz w:val="24"/>
          <w:szCs w:val="24"/>
          <w:lang w:val="en-US"/>
        </w:rPr>
      </w:pPr>
      <w:r>
        <w:rPr>
          <w:rFonts w:ascii="Segoe UI" w:hAnsi="Segoe UI" w:cs="Segoe UI"/>
          <w:sz w:val="24"/>
          <w:szCs w:val="24"/>
          <w:lang w:val="en-US"/>
        </w:rPr>
        <w:t>Table 1 highlights the disparities in nutrition training received by households. In male-headed households, 45.45% reported receiving nutrition training compared to 30% in female-headed households. However, both types of households showed similar levels of training that included gender role aspects, with 50% of female-headed households and 40% of male-headed households indicating such coverage. These findings suggest that while training is more prevalent in male-headed households, awareness of gender roles in nutrition is addressed in both contexts.</w:t>
      </w:r>
    </w:p>
    <w:p w14:paraId="5ADDB87A" w14:textId="77777777" w:rsidR="00EF509B" w:rsidRDefault="00EF509B">
      <w:pPr>
        <w:spacing w:after="120" w:line="240" w:lineRule="auto"/>
        <w:jc w:val="both"/>
        <w:rPr>
          <w:rFonts w:ascii="Segoe UI" w:hAnsi="Segoe UI" w:cs="Segoe UI"/>
          <w:sz w:val="24"/>
          <w:szCs w:val="24"/>
          <w:lang w:val="en-US"/>
        </w:rPr>
      </w:pPr>
    </w:p>
    <w:p w14:paraId="707F6429"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2: Recipients of Nutrition Training by Gender</w:t>
      </w:r>
    </w:p>
    <w:tbl>
      <w:tblPr>
        <w:tblW w:w="5532" w:type="dxa"/>
        <w:tblInd w:w="96" w:type="dxa"/>
        <w:tblLook w:val="04A0" w:firstRow="1" w:lastRow="0" w:firstColumn="1" w:lastColumn="0" w:noHBand="0" w:noVBand="1"/>
      </w:tblPr>
      <w:tblGrid>
        <w:gridCol w:w="1747"/>
        <w:gridCol w:w="1722"/>
        <w:gridCol w:w="1508"/>
        <w:gridCol w:w="739"/>
      </w:tblGrid>
      <w:tr w:rsidR="002C73D0" w14:paraId="44D56BD5" w14:textId="77777777">
        <w:trPr>
          <w:trHeight w:val="288"/>
        </w:trPr>
        <w:tc>
          <w:tcPr>
            <w:tcW w:w="5538"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27593" w14:textId="77777777" w:rsidR="002C73D0" w:rsidRDefault="00000000">
            <w:pPr>
              <w:spacing w:after="120" w:line="240" w:lineRule="auto"/>
              <w:jc w:val="center"/>
              <w:textAlignment w:val="center"/>
              <w:rPr>
                <w:rFonts w:ascii="Segoe UI" w:hAnsi="Segoe UI" w:cs="Segoe UI"/>
                <w:color w:val="000000"/>
              </w:rPr>
            </w:pPr>
            <w:r>
              <w:rPr>
                <w:rFonts w:ascii="Segoe UI" w:eastAsia="SimSun" w:hAnsi="Segoe UI" w:cs="Segoe UI"/>
                <w:color w:val="000000"/>
                <w:lang w:val="en-US" w:eastAsia="zh-CN" w:bidi="ar"/>
              </w:rPr>
              <w:t xml:space="preserve">Who received training </w:t>
            </w:r>
          </w:p>
        </w:tc>
      </w:tr>
      <w:tr w:rsidR="002C73D0" w14:paraId="0252E46E"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6A5A4" w14:textId="77777777" w:rsidR="002C73D0" w:rsidRDefault="002C73D0">
            <w:pPr>
              <w:spacing w:after="120" w:line="240" w:lineRule="auto"/>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D6790"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AB0C3"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C248C"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235CAD3B"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21412"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 adults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8D4A6"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2DA8B"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6D240"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20.97</w:t>
            </w:r>
          </w:p>
        </w:tc>
      </w:tr>
      <w:tr w:rsidR="002C73D0" w14:paraId="6255B39B"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E6AF4"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 adults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9E728"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95.83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5E58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3AA37"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91.13</w:t>
            </w:r>
          </w:p>
        </w:tc>
      </w:tr>
      <w:tr w:rsidR="002C73D0" w14:paraId="15CF8A23"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820EC"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 xml:space="preserve">Male children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3A884"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4C54B"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192F5"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4.84</w:t>
            </w:r>
          </w:p>
        </w:tc>
      </w:tr>
      <w:tr w:rsidR="002C73D0" w14:paraId="0A0386B6"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31EFB"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 children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85AD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2249A"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305D5"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3.23</w:t>
            </w:r>
          </w:p>
        </w:tc>
      </w:tr>
    </w:tbl>
    <w:p w14:paraId="5E8E0DE1" w14:textId="77777777" w:rsidR="00EF509B" w:rsidRDefault="00EF509B">
      <w:pPr>
        <w:spacing w:after="120" w:line="240" w:lineRule="auto"/>
        <w:jc w:val="both"/>
        <w:rPr>
          <w:rFonts w:ascii="Segoe UI" w:hAnsi="Segoe UI" w:cs="Segoe UI"/>
          <w:sz w:val="24"/>
          <w:szCs w:val="24"/>
        </w:rPr>
      </w:pPr>
    </w:p>
    <w:p w14:paraId="59653779" w14:textId="229B367F" w:rsidR="002C73D0" w:rsidRDefault="00303697">
      <w:pPr>
        <w:spacing w:after="120" w:line="240" w:lineRule="auto"/>
        <w:jc w:val="both"/>
        <w:rPr>
          <w:rFonts w:ascii="Segoe UI" w:hAnsi="Segoe UI" w:cs="Segoe UI"/>
          <w:sz w:val="24"/>
          <w:szCs w:val="24"/>
        </w:rPr>
      </w:pPr>
      <w:r w:rsidRPr="00303697">
        <w:rPr>
          <w:rFonts w:ascii="Segoe UI" w:hAnsi="Segoe UI" w:cs="Segoe UI"/>
          <w:sz w:val="24"/>
          <w:szCs w:val="24"/>
        </w:rPr>
        <w:t xml:space="preserve">Table 2 </w:t>
      </w:r>
      <w:r>
        <w:rPr>
          <w:rFonts w:ascii="Segoe UI" w:hAnsi="Segoe UI" w:cs="Segoe UI"/>
          <w:sz w:val="24"/>
          <w:szCs w:val="24"/>
        </w:rPr>
        <w:t>illustrates</w:t>
      </w:r>
      <w:r w:rsidRPr="00303697">
        <w:rPr>
          <w:rFonts w:ascii="Segoe UI" w:hAnsi="Segoe UI" w:cs="Segoe UI"/>
          <w:sz w:val="24"/>
          <w:szCs w:val="24"/>
        </w:rPr>
        <w:t xml:space="preserve"> the distribution of nutrition training within the households surveyed. A significant majority of the training was received by female adults, accounting for 95.83% of female-headed and 90% of male-headed households. In contrast, male adults received very little training, with only 4.17% of female-headed households and 25% of male-headed households participating. This disparity points to a gender imbalance, suggesting that women are often prioritized in nutrition education or that men may not perceive nutrition as their responsibility. </w:t>
      </w:r>
      <w:r w:rsidR="00073AEE" w:rsidRPr="00073AEE">
        <w:rPr>
          <w:rFonts w:ascii="Segoe UI" w:hAnsi="Segoe UI" w:cs="Segoe UI"/>
          <w:sz w:val="24"/>
          <w:szCs w:val="24"/>
        </w:rPr>
        <w:t>Th</w:t>
      </w:r>
      <w:r w:rsidR="00073AEE">
        <w:rPr>
          <w:rFonts w:ascii="Segoe UI" w:hAnsi="Segoe UI" w:cs="Segoe UI"/>
          <w:sz w:val="24"/>
          <w:szCs w:val="24"/>
        </w:rPr>
        <w:t xml:space="preserve">e </w:t>
      </w:r>
      <w:r w:rsidR="00073AEE" w:rsidRPr="00073AEE">
        <w:rPr>
          <w:rFonts w:ascii="Segoe UI" w:hAnsi="Segoe UI" w:cs="Segoe UI"/>
          <w:sz w:val="24"/>
          <w:szCs w:val="24"/>
        </w:rPr>
        <w:t>findings</w:t>
      </w:r>
      <w:r w:rsidR="00073AEE">
        <w:rPr>
          <w:rFonts w:ascii="Segoe UI" w:hAnsi="Segoe UI" w:cs="Segoe UI"/>
          <w:sz w:val="24"/>
          <w:szCs w:val="24"/>
        </w:rPr>
        <w:t xml:space="preserve"> are similar to </w:t>
      </w:r>
      <w:r w:rsidR="00073AEE" w:rsidRPr="00073AEE">
        <w:rPr>
          <w:rFonts w:ascii="Segoe UI" w:hAnsi="Segoe UI" w:cs="Segoe UI"/>
          <w:sz w:val="24"/>
          <w:szCs w:val="24"/>
        </w:rPr>
        <w:t>Li (2017) that demonstrated that women are often prioritized for health-related education due to their roles as primary caregivers</w:t>
      </w:r>
      <w:r w:rsidR="00073AEE">
        <w:rPr>
          <w:rFonts w:ascii="Segoe UI" w:hAnsi="Segoe UI" w:cs="Segoe UI"/>
          <w:sz w:val="24"/>
          <w:szCs w:val="24"/>
        </w:rPr>
        <w:t xml:space="preserve">. </w:t>
      </w:r>
      <w:r w:rsidRPr="00303697">
        <w:rPr>
          <w:rFonts w:ascii="Segoe UI" w:hAnsi="Segoe UI" w:cs="Segoe UI"/>
          <w:sz w:val="24"/>
          <w:szCs w:val="24"/>
        </w:rPr>
        <w:t>The low percentage of children receiving nutrition training indicates a missed opportunity to engage all household members in improving nutritional knowledge.</w:t>
      </w:r>
    </w:p>
    <w:p w14:paraId="6A475C71" w14:textId="77777777" w:rsidR="00303697" w:rsidRDefault="00303697">
      <w:pPr>
        <w:spacing w:after="120" w:line="240" w:lineRule="auto"/>
        <w:jc w:val="both"/>
        <w:rPr>
          <w:rFonts w:ascii="Segoe UI" w:hAnsi="Segoe UI" w:cs="Segoe UI"/>
          <w:sz w:val="24"/>
          <w:szCs w:val="24"/>
        </w:rPr>
      </w:pPr>
    </w:p>
    <w:p w14:paraId="1B0E10B9"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3: Changes in Food Consumption Patterns Post-Training</w:t>
      </w:r>
    </w:p>
    <w:tbl>
      <w:tblPr>
        <w:tblW w:w="9146" w:type="dxa"/>
        <w:tblInd w:w="96" w:type="dxa"/>
        <w:tblLayout w:type="fixed"/>
        <w:tblLook w:val="04A0" w:firstRow="1" w:lastRow="0" w:firstColumn="1" w:lastColumn="0" w:noHBand="0" w:noVBand="1"/>
      </w:tblPr>
      <w:tblGrid>
        <w:gridCol w:w="5633"/>
        <w:gridCol w:w="1282"/>
        <w:gridCol w:w="1114"/>
        <w:gridCol w:w="1117"/>
      </w:tblGrid>
      <w:tr w:rsidR="002C73D0" w14:paraId="0C5F0D38" w14:textId="77777777">
        <w:trPr>
          <w:trHeight w:val="288"/>
        </w:trPr>
        <w:tc>
          <w:tcPr>
            <w:tcW w:w="9146"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4550A" w14:textId="77777777" w:rsidR="002C73D0" w:rsidRDefault="00000000">
            <w:pPr>
              <w:spacing w:after="120" w:line="240" w:lineRule="auto"/>
              <w:jc w:val="center"/>
              <w:textAlignment w:val="center"/>
              <w:rPr>
                <w:rFonts w:ascii="Segoe UI" w:hAnsi="Segoe UI" w:cs="Segoe UI"/>
                <w:color w:val="000000"/>
              </w:rPr>
            </w:pPr>
            <w:r>
              <w:rPr>
                <w:rFonts w:ascii="Segoe UI" w:eastAsia="SimSun" w:hAnsi="Segoe UI" w:cs="Segoe UI"/>
                <w:color w:val="000000"/>
                <w:lang w:val="en-US" w:eastAsia="zh-CN" w:bidi="ar"/>
              </w:rPr>
              <w:t xml:space="preserve">Change in consumption pattern due to training </w:t>
            </w:r>
          </w:p>
        </w:tc>
      </w:tr>
      <w:tr w:rsidR="002C73D0" w14:paraId="666E1788" w14:textId="77777777">
        <w:trPr>
          <w:trHeight w:val="288"/>
        </w:trPr>
        <w:tc>
          <w:tcPr>
            <w:tcW w:w="5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AD3BE" w14:textId="77777777" w:rsidR="002C73D0" w:rsidRDefault="002C73D0">
            <w:pPr>
              <w:spacing w:after="120" w:line="240" w:lineRule="auto"/>
              <w:rPr>
                <w:rFonts w:ascii="Segoe UI" w:hAnsi="Segoe UI" w:cs="Segoe UI"/>
                <w:color w:val="00000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9F4EB"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5AD7F"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1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D979C"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0DE521C2" w14:textId="77777777">
        <w:trPr>
          <w:trHeight w:val="288"/>
        </w:trPr>
        <w:tc>
          <w:tcPr>
            <w:tcW w:w="5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9B0C6"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lastRenderedPageBreak/>
              <w:t>Increased consumption of fruits and vegetables</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F52C7"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83.33</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774A3"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75</w:t>
            </w:r>
          </w:p>
        </w:tc>
        <w:tc>
          <w:tcPr>
            <w:tcW w:w="11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24A9B"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76.61</w:t>
            </w:r>
          </w:p>
        </w:tc>
      </w:tr>
      <w:tr w:rsidR="002C73D0" w14:paraId="7208B119" w14:textId="77777777">
        <w:trPr>
          <w:trHeight w:val="288"/>
        </w:trPr>
        <w:tc>
          <w:tcPr>
            <w:tcW w:w="5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CD649"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Decreased intake of processed foods and sugary drinks</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57AF2"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41.67</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A7A3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38</w:t>
            </w:r>
          </w:p>
        </w:tc>
        <w:tc>
          <w:tcPr>
            <w:tcW w:w="11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07EA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38.71</w:t>
            </w:r>
          </w:p>
        </w:tc>
      </w:tr>
      <w:tr w:rsidR="002C73D0" w14:paraId="78603836" w14:textId="77777777">
        <w:trPr>
          <w:trHeight w:val="288"/>
        </w:trPr>
        <w:tc>
          <w:tcPr>
            <w:tcW w:w="5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F0EC2"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Reduced portion size and mindful eating</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5F9EC"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12.5</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1BD95"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20</w:t>
            </w:r>
          </w:p>
        </w:tc>
        <w:tc>
          <w:tcPr>
            <w:tcW w:w="11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2D7DE"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18.55</w:t>
            </w:r>
          </w:p>
        </w:tc>
      </w:tr>
      <w:tr w:rsidR="002C73D0" w14:paraId="7D20D884" w14:textId="77777777">
        <w:trPr>
          <w:trHeight w:val="288"/>
        </w:trPr>
        <w:tc>
          <w:tcPr>
            <w:tcW w:w="5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96448" w14:textId="2D3DCD08"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Greater variety in food choices and meal plan</w:t>
            </w:r>
            <w:r w:rsidR="002B0CB5">
              <w:rPr>
                <w:rFonts w:ascii="Segoe UI" w:eastAsia="SimSun" w:hAnsi="Segoe UI" w:cs="Segoe UI"/>
                <w:color w:val="000000"/>
                <w:lang w:val="en-US" w:eastAsia="zh-CN" w:bidi="ar"/>
              </w:rPr>
              <w:t>n</w:t>
            </w:r>
            <w:r>
              <w:rPr>
                <w:rFonts w:ascii="Segoe UI" w:eastAsia="SimSun" w:hAnsi="Segoe UI" w:cs="Segoe UI"/>
                <w:color w:val="000000"/>
                <w:lang w:val="en-US" w:eastAsia="zh-CN" w:bidi="ar"/>
              </w:rPr>
              <w:t>ing</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8F0F3"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20.83</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08F77"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30</w:t>
            </w:r>
          </w:p>
        </w:tc>
        <w:tc>
          <w:tcPr>
            <w:tcW w:w="11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CA55E"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28.23</w:t>
            </w:r>
          </w:p>
        </w:tc>
      </w:tr>
      <w:tr w:rsidR="002C73D0" w14:paraId="7F6E1CC3" w14:textId="77777777">
        <w:trPr>
          <w:trHeight w:val="288"/>
        </w:trPr>
        <w:tc>
          <w:tcPr>
            <w:tcW w:w="5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F4A31"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eastAsia="zh-CN" w:bidi="ar"/>
              </w:rPr>
              <w:t>Understanding</w:t>
            </w:r>
            <w:r>
              <w:rPr>
                <w:rFonts w:ascii="Segoe UI" w:eastAsia="SimSun" w:hAnsi="Segoe UI" w:cs="Segoe UI"/>
                <w:color w:val="000000"/>
                <w:lang w:val="en-US" w:eastAsia="zh-CN" w:bidi="ar"/>
              </w:rPr>
              <w:t xml:space="preserve"> of nutritional labels and </w:t>
            </w:r>
            <w:r>
              <w:rPr>
                <w:rFonts w:ascii="Segoe UI" w:eastAsia="SimSun" w:hAnsi="Segoe UI" w:cs="Segoe UI"/>
                <w:color w:val="000000"/>
                <w:lang w:eastAsia="zh-CN" w:bidi="ar"/>
              </w:rPr>
              <w:t>ingredients</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E3EF2"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8.33</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1C193"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19</w:t>
            </w:r>
          </w:p>
        </w:tc>
        <w:tc>
          <w:tcPr>
            <w:tcW w:w="11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C0163"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16.94</w:t>
            </w:r>
          </w:p>
        </w:tc>
      </w:tr>
      <w:tr w:rsidR="002C73D0" w14:paraId="6A10D2BB" w14:textId="77777777">
        <w:trPr>
          <w:trHeight w:val="288"/>
        </w:trPr>
        <w:tc>
          <w:tcPr>
            <w:tcW w:w="5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250F6"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Adoption of healthier cooking methods</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8CB66"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16.67</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006A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22</w:t>
            </w:r>
          </w:p>
        </w:tc>
        <w:tc>
          <w:tcPr>
            <w:tcW w:w="11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D4084"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20.97</w:t>
            </w:r>
          </w:p>
        </w:tc>
      </w:tr>
      <w:tr w:rsidR="002C73D0" w14:paraId="1F80699E" w14:textId="77777777">
        <w:trPr>
          <w:trHeight w:val="288"/>
        </w:trPr>
        <w:tc>
          <w:tcPr>
            <w:tcW w:w="5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1346A"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 xml:space="preserve">Enhance awareness of dietary </w:t>
            </w:r>
            <w:r>
              <w:rPr>
                <w:rFonts w:ascii="Segoe UI" w:eastAsia="SimSun" w:hAnsi="Segoe UI" w:cs="Segoe UI"/>
                <w:color w:val="000000"/>
                <w:lang w:eastAsia="zh-CN" w:bidi="ar"/>
              </w:rPr>
              <w:t>needs</w:t>
            </w:r>
            <w:r>
              <w:rPr>
                <w:rFonts w:ascii="Segoe UI" w:eastAsia="SimSun" w:hAnsi="Segoe UI" w:cs="Segoe UI"/>
                <w:color w:val="000000"/>
                <w:lang w:val="en-US" w:eastAsia="zh-CN" w:bidi="ar"/>
              </w:rPr>
              <w:t xml:space="preserve"> and food related </w:t>
            </w:r>
            <w:r>
              <w:rPr>
                <w:rFonts w:ascii="Segoe UI" w:eastAsia="SimSun" w:hAnsi="Segoe UI" w:cs="Segoe UI"/>
                <w:color w:val="000000"/>
                <w:lang w:eastAsia="zh-CN" w:bidi="ar"/>
              </w:rPr>
              <w:t>behaviours</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4903C"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16.67</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E43D0"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18</w:t>
            </w:r>
          </w:p>
        </w:tc>
        <w:tc>
          <w:tcPr>
            <w:tcW w:w="11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C3955"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17.74</w:t>
            </w:r>
          </w:p>
        </w:tc>
      </w:tr>
    </w:tbl>
    <w:p w14:paraId="3CA377C2" w14:textId="77777777" w:rsidR="00C724ED" w:rsidRDefault="00C724ED">
      <w:pPr>
        <w:spacing w:after="120" w:line="240" w:lineRule="auto"/>
        <w:jc w:val="both"/>
        <w:rPr>
          <w:rFonts w:ascii="Segoe UI" w:hAnsi="Segoe UI" w:cs="Segoe UI"/>
          <w:sz w:val="24"/>
          <w:szCs w:val="24"/>
        </w:rPr>
      </w:pPr>
    </w:p>
    <w:p w14:paraId="1C609011" w14:textId="58FF0F1B"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3 presents changes in consumption patterns attributed to nutrition training. In both household types, a high percentage reported increased consumption of fruits and vegetables (83.33% for female-headed and 75% for male-headed)</w:t>
      </w:r>
      <w:r w:rsidR="00C724ED">
        <w:rPr>
          <w:rFonts w:ascii="Segoe UI" w:hAnsi="Segoe UI" w:cs="Segoe UI"/>
          <w:sz w:val="24"/>
          <w:szCs w:val="24"/>
        </w:rPr>
        <w:t xml:space="preserve"> after receiving nutrition training</w:t>
      </w:r>
      <w:r>
        <w:rPr>
          <w:rFonts w:ascii="Segoe UI" w:hAnsi="Segoe UI" w:cs="Segoe UI"/>
          <w:sz w:val="24"/>
          <w:szCs w:val="24"/>
        </w:rPr>
        <w:t>. Other positive changes included reduced intake of processed foods and a broader variety in food choices</w:t>
      </w:r>
      <w:r w:rsidR="00071521">
        <w:rPr>
          <w:rFonts w:ascii="Segoe UI" w:hAnsi="Segoe UI" w:cs="Segoe UI"/>
          <w:sz w:val="24"/>
          <w:szCs w:val="24"/>
        </w:rPr>
        <w:t xml:space="preserve">. </w:t>
      </w:r>
      <w:r w:rsidR="00071521" w:rsidRPr="00071521">
        <w:rPr>
          <w:rFonts w:ascii="Segoe UI" w:hAnsi="Segoe UI" w:cs="Segoe UI"/>
          <w:sz w:val="24"/>
          <w:szCs w:val="24"/>
        </w:rPr>
        <w:t xml:space="preserve">These findings align with the study by Saaka </w:t>
      </w:r>
      <w:r w:rsidR="00071521">
        <w:rPr>
          <w:rFonts w:ascii="Segoe UI" w:hAnsi="Segoe UI" w:cs="Segoe UI"/>
          <w:sz w:val="24"/>
          <w:szCs w:val="24"/>
        </w:rPr>
        <w:t>and</w:t>
      </w:r>
      <w:r w:rsidR="00071521" w:rsidRPr="00071521">
        <w:rPr>
          <w:rFonts w:ascii="Segoe UI" w:hAnsi="Segoe UI" w:cs="Segoe UI"/>
          <w:sz w:val="24"/>
          <w:szCs w:val="24"/>
        </w:rPr>
        <w:t xml:space="preserve"> Hoeschle-Zeledon (2021), which emphasized that nutrition education significantly enhances fruit and vegetable consumption in households. </w:t>
      </w:r>
      <w:r>
        <w:rPr>
          <w:rFonts w:ascii="Segoe UI" w:hAnsi="Segoe UI" w:cs="Segoe UI"/>
          <w:sz w:val="24"/>
          <w:szCs w:val="24"/>
        </w:rPr>
        <w:t>While the overall impact of training on food consumption patterns is evident, the data indicates room for improvement in aspects such as understanding nutritional labels and adopting healthier cooking methods, particularly in female-headed households.</w:t>
      </w:r>
    </w:p>
    <w:p w14:paraId="3F83A275" w14:textId="77777777" w:rsidR="002C73D0" w:rsidRDefault="002C73D0">
      <w:pPr>
        <w:spacing w:after="120" w:line="240" w:lineRule="auto"/>
        <w:jc w:val="both"/>
        <w:rPr>
          <w:rFonts w:ascii="Segoe UI" w:hAnsi="Segoe UI" w:cs="Segoe UI"/>
          <w:sz w:val="24"/>
          <w:szCs w:val="24"/>
        </w:rPr>
      </w:pPr>
    </w:p>
    <w:p w14:paraId="37FC4AE1"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4: Awareness of Nutritious Foods and Balanced Diets by Household Member</w:t>
      </w:r>
    </w:p>
    <w:tbl>
      <w:tblPr>
        <w:tblW w:w="908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9"/>
        <w:gridCol w:w="1140"/>
        <w:gridCol w:w="1140"/>
        <w:gridCol w:w="1140"/>
        <w:gridCol w:w="1444"/>
        <w:gridCol w:w="1216"/>
        <w:gridCol w:w="1216"/>
      </w:tblGrid>
      <w:tr w:rsidR="002C73D0" w14:paraId="4E6C3020" w14:textId="77777777" w:rsidTr="002B0CB5">
        <w:trPr>
          <w:trHeight w:val="633"/>
        </w:trPr>
        <w:tc>
          <w:tcPr>
            <w:tcW w:w="1789" w:type="dxa"/>
            <w:vMerge w:val="restart"/>
            <w:shd w:val="clear" w:color="auto" w:fill="auto"/>
            <w:noWrap/>
            <w:vAlign w:val="bottom"/>
          </w:tcPr>
          <w:p w14:paraId="64D1748D" w14:textId="77777777" w:rsidR="002C73D0" w:rsidRDefault="002C73D0">
            <w:pPr>
              <w:spacing w:after="120" w:line="240" w:lineRule="auto"/>
              <w:jc w:val="center"/>
              <w:textAlignment w:val="center"/>
              <w:rPr>
                <w:rFonts w:ascii="Segoe UI" w:hAnsi="Segoe UI" w:cs="Segoe UI"/>
                <w:color w:val="000000"/>
              </w:rPr>
            </w:pPr>
          </w:p>
        </w:tc>
        <w:tc>
          <w:tcPr>
            <w:tcW w:w="3420" w:type="dxa"/>
            <w:gridSpan w:val="3"/>
            <w:shd w:val="clear" w:color="auto" w:fill="auto"/>
            <w:noWrap/>
            <w:vAlign w:val="bottom"/>
          </w:tcPr>
          <w:p w14:paraId="527124C1"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Who is more aware about nutritious foods in a household</w:t>
            </w:r>
          </w:p>
        </w:tc>
        <w:tc>
          <w:tcPr>
            <w:tcW w:w="3876" w:type="dxa"/>
            <w:gridSpan w:val="3"/>
            <w:shd w:val="clear" w:color="auto" w:fill="auto"/>
            <w:noWrap/>
            <w:vAlign w:val="bottom"/>
          </w:tcPr>
          <w:p w14:paraId="599BF0A8" w14:textId="75D24713"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Who in your household tends to be more aware about “Balanced Diet”</w:t>
            </w:r>
          </w:p>
        </w:tc>
      </w:tr>
      <w:tr w:rsidR="002C73D0" w14:paraId="158FF512" w14:textId="77777777" w:rsidTr="002B0CB5">
        <w:trPr>
          <w:trHeight w:val="417"/>
        </w:trPr>
        <w:tc>
          <w:tcPr>
            <w:tcW w:w="1789" w:type="dxa"/>
            <w:vMerge/>
            <w:shd w:val="clear" w:color="auto" w:fill="auto"/>
            <w:noWrap/>
            <w:vAlign w:val="bottom"/>
          </w:tcPr>
          <w:p w14:paraId="277F2653" w14:textId="77777777" w:rsidR="002C73D0" w:rsidRDefault="002C73D0">
            <w:pPr>
              <w:spacing w:after="120" w:line="240" w:lineRule="auto"/>
              <w:rPr>
                <w:rFonts w:ascii="Segoe UI" w:hAnsi="Segoe UI" w:cs="Segoe UI"/>
                <w:color w:val="000000"/>
              </w:rPr>
            </w:pPr>
          </w:p>
        </w:tc>
        <w:tc>
          <w:tcPr>
            <w:tcW w:w="1140" w:type="dxa"/>
            <w:shd w:val="clear" w:color="auto" w:fill="auto"/>
            <w:noWrap/>
            <w:vAlign w:val="bottom"/>
          </w:tcPr>
          <w:p w14:paraId="53EE0ACE"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1140" w:type="dxa"/>
            <w:shd w:val="clear" w:color="auto" w:fill="auto"/>
            <w:noWrap/>
            <w:vAlign w:val="bottom"/>
          </w:tcPr>
          <w:p w14:paraId="6E2153B4"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140" w:type="dxa"/>
            <w:shd w:val="clear" w:color="auto" w:fill="auto"/>
            <w:noWrap/>
            <w:vAlign w:val="bottom"/>
          </w:tcPr>
          <w:p w14:paraId="0F951C8D"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c>
          <w:tcPr>
            <w:tcW w:w="1444" w:type="dxa"/>
            <w:shd w:val="clear" w:color="auto" w:fill="auto"/>
            <w:noWrap/>
            <w:vAlign w:val="bottom"/>
          </w:tcPr>
          <w:p w14:paraId="6674FFF2" w14:textId="77777777" w:rsidR="002C73D0" w:rsidRDefault="00000000">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Female-headed</w:t>
            </w:r>
          </w:p>
        </w:tc>
        <w:tc>
          <w:tcPr>
            <w:tcW w:w="1216" w:type="dxa"/>
            <w:shd w:val="clear" w:color="auto" w:fill="auto"/>
            <w:noWrap/>
            <w:vAlign w:val="bottom"/>
          </w:tcPr>
          <w:p w14:paraId="318BE5FE" w14:textId="77777777" w:rsidR="002C73D0" w:rsidRDefault="00000000">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Male-headed</w:t>
            </w:r>
          </w:p>
        </w:tc>
        <w:tc>
          <w:tcPr>
            <w:tcW w:w="1216" w:type="dxa"/>
            <w:shd w:val="clear" w:color="auto" w:fill="auto"/>
            <w:noWrap/>
            <w:vAlign w:val="bottom"/>
          </w:tcPr>
          <w:p w14:paraId="5F031D82" w14:textId="77777777" w:rsidR="002C73D0" w:rsidRDefault="00000000">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Total</w:t>
            </w:r>
          </w:p>
        </w:tc>
      </w:tr>
      <w:tr w:rsidR="002C73D0" w14:paraId="50136358" w14:textId="77777777" w:rsidTr="002B0CB5">
        <w:trPr>
          <w:trHeight w:val="300"/>
        </w:trPr>
        <w:tc>
          <w:tcPr>
            <w:tcW w:w="1789" w:type="dxa"/>
            <w:shd w:val="clear" w:color="auto" w:fill="auto"/>
            <w:noWrap/>
            <w:vAlign w:val="bottom"/>
          </w:tcPr>
          <w:p w14:paraId="4EB97C25"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 adults</w:t>
            </w:r>
          </w:p>
        </w:tc>
        <w:tc>
          <w:tcPr>
            <w:tcW w:w="1140" w:type="dxa"/>
            <w:shd w:val="clear" w:color="auto" w:fill="auto"/>
            <w:noWrap/>
            <w:vAlign w:val="bottom"/>
          </w:tcPr>
          <w:p w14:paraId="3CDC71A8"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11.25</w:t>
            </w:r>
          </w:p>
        </w:tc>
        <w:tc>
          <w:tcPr>
            <w:tcW w:w="1140" w:type="dxa"/>
            <w:shd w:val="clear" w:color="auto" w:fill="auto"/>
            <w:noWrap/>
            <w:vAlign w:val="bottom"/>
          </w:tcPr>
          <w:p w14:paraId="7001082E"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49.09</w:t>
            </w:r>
          </w:p>
        </w:tc>
        <w:tc>
          <w:tcPr>
            <w:tcW w:w="1140" w:type="dxa"/>
            <w:shd w:val="clear" w:color="auto" w:fill="auto"/>
            <w:noWrap/>
            <w:vAlign w:val="bottom"/>
          </w:tcPr>
          <w:p w14:paraId="72A3B7DB"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39</w:t>
            </w:r>
          </w:p>
        </w:tc>
        <w:tc>
          <w:tcPr>
            <w:tcW w:w="1444" w:type="dxa"/>
            <w:shd w:val="clear" w:color="auto" w:fill="auto"/>
            <w:noWrap/>
            <w:vAlign w:val="bottom"/>
          </w:tcPr>
          <w:p w14:paraId="0DD1432C"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8.75</w:t>
            </w:r>
          </w:p>
        </w:tc>
        <w:tc>
          <w:tcPr>
            <w:tcW w:w="1216" w:type="dxa"/>
            <w:shd w:val="clear" w:color="auto" w:fill="auto"/>
            <w:noWrap/>
            <w:vAlign w:val="bottom"/>
          </w:tcPr>
          <w:p w14:paraId="300AB724"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49.55</w:t>
            </w:r>
          </w:p>
        </w:tc>
        <w:tc>
          <w:tcPr>
            <w:tcW w:w="1216" w:type="dxa"/>
            <w:shd w:val="clear" w:color="auto" w:fill="auto"/>
            <w:noWrap/>
            <w:vAlign w:val="bottom"/>
          </w:tcPr>
          <w:p w14:paraId="2620B6D9"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38.67</w:t>
            </w:r>
          </w:p>
        </w:tc>
      </w:tr>
      <w:tr w:rsidR="002C73D0" w14:paraId="3CA1E4EE" w14:textId="77777777" w:rsidTr="002B0CB5">
        <w:trPr>
          <w:trHeight w:val="300"/>
        </w:trPr>
        <w:tc>
          <w:tcPr>
            <w:tcW w:w="1789" w:type="dxa"/>
            <w:shd w:val="clear" w:color="auto" w:fill="auto"/>
            <w:noWrap/>
            <w:vAlign w:val="bottom"/>
          </w:tcPr>
          <w:p w14:paraId="12D70FDF"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 adults</w:t>
            </w:r>
          </w:p>
        </w:tc>
        <w:tc>
          <w:tcPr>
            <w:tcW w:w="1140" w:type="dxa"/>
            <w:shd w:val="clear" w:color="auto" w:fill="auto"/>
            <w:noWrap/>
            <w:vAlign w:val="bottom"/>
          </w:tcPr>
          <w:p w14:paraId="5F889CE0"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63.75</w:t>
            </w:r>
          </w:p>
        </w:tc>
        <w:tc>
          <w:tcPr>
            <w:tcW w:w="1140" w:type="dxa"/>
            <w:shd w:val="clear" w:color="auto" w:fill="auto"/>
            <w:noWrap/>
            <w:vAlign w:val="bottom"/>
          </w:tcPr>
          <w:p w14:paraId="16F7266D"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75</w:t>
            </w:r>
          </w:p>
        </w:tc>
        <w:tc>
          <w:tcPr>
            <w:tcW w:w="1140" w:type="dxa"/>
            <w:shd w:val="clear" w:color="auto" w:fill="auto"/>
            <w:noWrap/>
            <w:vAlign w:val="bottom"/>
          </w:tcPr>
          <w:p w14:paraId="2289F067"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72</w:t>
            </w:r>
          </w:p>
        </w:tc>
        <w:tc>
          <w:tcPr>
            <w:tcW w:w="1444" w:type="dxa"/>
            <w:shd w:val="clear" w:color="auto" w:fill="auto"/>
            <w:noWrap/>
            <w:vAlign w:val="bottom"/>
          </w:tcPr>
          <w:p w14:paraId="20D859DD"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67.5</w:t>
            </w:r>
          </w:p>
        </w:tc>
        <w:tc>
          <w:tcPr>
            <w:tcW w:w="1216" w:type="dxa"/>
            <w:shd w:val="clear" w:color="auto" w:fill="auto"/>
            <w:noWrap/>
            <w:vAlign w:val="bottom"/>
          </w:tcPr>
          <w:p w14:paraId="26FC40D6"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78.64</w:t>
            </w:r>
          </w:p>
        </w:tc>
        <w:tc>
          <w:tcPr>
            <w:tcW w:w="1216" w:type="dxa"/>
            <w:shd w:val="clear" w:color="auto" w:fill="auto"/>
            <w:noWrap/>
            <w:vAlign w:val="bottom"/>
          </w:tcPr>
          <w:p w14:paraId="36502B82"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75.67</w:t>
            </w:r>
          </w:p>
        </w:tc>
      </w:tr>
      <w:tr w:rsidR="002C73D0" w14:paraId="72B10DB1" w14:textId="77777777" w:rsidTr="002B0CB5">
        <w:trPr>
          <w:trHeight w:val="288"/>
        </w:trPr>
        <w:tc>
          <w:tcPr>
            <w:tcW w:w="1789" w:type="dxa"/>
            <w:shd w:val="clear" w:color="auto" w:fill="auto"/>
            <w:noWrap/>
            <w:vAlign w:val="bottom"/>
          </w:tcPr>
          <w:p w14:paraId="29D85BF9"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 xml:space="preserve">Male children </w:t>
            </w:r>
          </w:p>
        </w:tc>
        <w:tc>
          <w:tcPr>
            <w:tcW w:w="1140" w:type="dxa"/>
            <w:shd w:val="clear" w:color="auto" w:fill="auto"/>
            <w:noWrap/>
            <w:vAlign w:val="bottom"/>
          </w:tcPr>
          <w:p w14:paraId="6C4D2D4E"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11.25</w:t>
            </w:r>
          </w:p>
        </w:tc>
        <w:tc>
          <w:tcPr>
            <w:tcW w:w="1140" w:type="dxa"/>
            <w:shd w:val="clear" w:color="auto" w:fill="auto"/>
            <w:noWrap/>
            <w:vAlign w:val="bottom"/>
          </w:tcPr>
          <w:p w14:paraId="67CFFEF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8.18</w:t>
            </w:r>
          </w:p>
        </w:tc>
        <w:tc>
          <w:tcPr>
            <w:tcW w:w="1140" w:type="dxa"/>
            <w:shd w:val="clear" w:color="auto" w:fill="auto"/>
            <w:noWrap/>
            <w:vAlign w:val="bottom"/>
          </w:tcPr>
          <w:p w14:paraId="3175773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9</w:t>
            </w:r>
          </w:p>
        </w:tc>
        <w:tc>
          <w:tcPr>
            <w:tcW w:w="1444" w:type="dxa"/>
            <w:shd w:val="clear" w:color="auto" w:fill="auto"/>
            <w:noWrap/>
            <w:vAlign w:val="bottom"/>
          </w:tcPr>
          <w:p w14:paraId="026A5963"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7.5</w:t>
            </w:r>
          </w:p>
        </w:tc>
        <w:tc>
          <w:tcPr>
            <w:tcW w:w="1216" w:type="dxa"/>
            <w:shd w:val="clear" w:color="auto" w:fill="auto"/>
            <w:noWrap/>
            <w:vAlign w:val="bottom"/>
          </w:tcPr>
          <w:p w14:paraId="44F3E27D"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8.64</w:t>
            </w:r>
          </w:p>
        </w:tc>
        <w:tc>
          <w:tcPr>
            <w:tcW w:w="1216" w:type="dxa"/>
            <w:shd w:val="clear" w:color="auto" w:fill="auto"/>
            <w:noWrap/>
            <w:vAlign w:val="bottom"/>
          </w:tcPr>
          <w:p w14:paraId="5B449FBD"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8.33</w:t>
            </w:r>
          </w:p>
        </w:tc>
      </w:tr>
      <w:tr w:rsidR="002C73D0" w14:paraId="73EFB0D0" w14:textId="77777777" w:rsidTr="002B0CB5">
        <w:trPr>
          <w:trHeight w:val="288"/>
        </w:trPr>
        <w:tc>
          <w:tcPr>
            <w:tcW w:w="1789" w:type="dxa"/>
            <w:shd w:val="clear" w:color="auto" w:fill="auto"/>
            <w:noWrap/>
            <w:vAlign w:val="bottom"/>
          </w:tcPr>
          <w:p w14:paraId="0D673F0F"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 children</w:t>
            </w:r>
          </w:p>
        </w:tc>
        <w:tc>
          <w:tcPr>
            <w:tcW w:w="1140" w:type="dxa"/>
            <w:shd w:val="clear" w:color="auto" w:fill="auto"/>
            <w:noWrap/>
            <w:vAlign w:val="bottom"/>
          </w:tcPr>
          <w:p w14:paraId="4CEACA63"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20</w:t>
            </w:r>
          </w:p>
        </w:tc>
        <w:tc>
          <w:tcPr>
            <w:tcW w:w="1140" w:type="dxa"/>
            <w:shd w:val="clear" w:color="auto" w:fill="auto"/>
            <w:noWrap/>
            <w:vAlign w:val="bottom"/>
          </w:tcPr>
          <w:p w14:paraId="66630AA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8.18</w:t>
            </w:r>
          </w:p>
        </w:tc>
        <w:tc>
          <w:tcPr>
            <w:tcW w:w="1140" w:type="dxa"/>
            <w:shd w:val="clear" w:color="auto" w:fill="auto"/>
            <w:noWrap/>
            <w:vAlign w:val="bottom"/>
          </w:tcPr>
          <w:p w14:paraId="009DC9CC"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11.33</w:t>
            </w:r>
          </w:p>
        </w:tc>
        <w:tc>
          <w:tcPr>
            <w:tcW w:w="1444" w:type="dxa"/>
            <w:shd w:val="clear" w:color="auto" w:fill="auto"/>
            <w:noWrap/>
            <w:vAlign w:val="bottom"/>
          </w:tcPr>
          <w:p w14:paraId="40535201"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15</w:t>
            </w:r>
          </w:p>
        </w:tc>
        <w:tc>
          <w:tcPr>
            <w:tcW w:w="1216" w:type="dxa"/>
            <w:shd w:val="clear" w:color="auto" w:fill="auto"/>
            <w:noWrap/>
            <w:vAlign w:val="bottom"/>
          </w:tcPr>
          <w:p w14:paraId="577DC15C"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9.55</w:t>
            </w:r>
          </w:p>
        </w:tc>
        <w:tc>
          <w:tcPr>
            <w:tcW w:w="1216" w:type="dxa"/>
            <w:shd w:val="clear" w:color="auto" w:fill="auto"/>
            <w:noWrap/>
            <w:vAlign w:val="bottom"/>
          </w:tcPr>
          <w:p w14:paraId="0E6FD94A"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11</w:t>
            </w:r>
          </w:p>
        </w:tc>
      </w:tr>
    </w:tbl>
    <w:p w14:paraId="04B58450" w14:textId="77777777" w:rsidR="00303697" w:rsidRDefault="00303697">
      <w:pPr>
        <w:spacing w:after="120" w:line="240" w:lineRule="auto"/>
        <w:jc w:val="both"/>
        <w:rPr>
          <w:rFonts w:ascii="Segoe UI" w:hAnsi="Segoe UI" w:cs="Segoe UI"/>
          <w:sz w:val="24"/>
          <w:szCs w:val="24"/>
        </w:rPr>
      </w:pPr>
    </w:p>
    <w:p w14:paraId="4D5F1FF6" w14:textId="45E4D55D" w:rsidR="002C73D0" w:rsidRDefault="00000000">
      <w:pPr>
        <w:spacing w:after="120" w:line="240" w:lineRule="auto"/>
        <w:jc w:val="both"/>
        <w:rPr>
          <w:rFonts w:ascii="Segoe UI" w:hAnsi="Segoe UI" w:cs="Segoe UI"/>
          <w:sz w:val="24"/>
          <w:szCs w:val="24"/>
        </w:rPr>
      </w:pPr>
      <w:r>
        <w:rPr>
          <w:rFonts w:ascii="Segoe UI" w:hAnsi="Segoe UI" w:cs="Segoe UI"/>
          <w:sz w:val="24"/>
          <w:szCs w:val="24"/>
        </w:rPr>
        <w:t>Awareness of nutritious foods and balanced diets is predominantly higher among female household members. In Table 4, 63.75% of females in female-headed households are aware of nutritious foods, while only 11.25% of males demonstrate similar awareness. For balanced diets, 67.5% of females in female-headed households are knowledgeable compared to 8.75% of their male counterparts, highlighting a gender gap in nutritional awareness.</w:t>
      </w:r>
      <w:r w:rsidR="00071521" w:rsidRPr="00071521">
        <w:t xml:space="preserve"> </w:t>
      </w:r>
      <w:r w:rsidR="00071521">
        <w:t>T</w:t>
      </w:r>
      <w:r w:rsidR="00071521" w:rsidRPr="00071521">
        <w:rPr>
          <w:rFonts w:ascii="Segoe UI" w:hAnsi="Segoe UI" w:cs="Segoe UI"/>
          <w:sz w:val="24"/>
          <w:szCs w:val="24"/>
        </w:rPr>
        <w:t xml:space="preserve">hese findings are consistent with other studies, </w:t>
      </w:r>
      <w:r w:rsidR="00071521" w:rsidRPr="00071521">
        <w:rPr>
          <w:rFonts w:ascii="Segoe UI" w:hAnsi="Segoe UI" w:cs="Segoe UI"/>
          <w:sz w:val="24"/>
          <w:szCs w:val="24"/>
        </w:rPr>
        <w:lastRenderedPageBreak/>
        <w:t>such as Barak et al. (2021), which highlight that women are typically more engaged in nutrition education and awareness within families compared to men.</w:t>
      </w:r>
    </w:p>
    <w:p w14:paraId="5559F8B5" w14:textId="77777777" w:rsidR="002C73D0" w:rsidRDefault="002C73D0">
      <w:pPr>
        <w:spacing w:after="120" w:line="240" w:lineRule="auto"/>
        <w:jc w:val="both"/>
        <w:rPr>
          <w:rFonts w:ascii="Segoe UI" w:hAnsi="Segoe UI" w:cs="Segoe UI"/>
          <w:sz w:val="24"/>
          <w:szCs w:val="24"/>
        </w:rPr>
      </w:pPr>
    </w:p>
    <w:p w14:paraId="77A71782"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5: Household Food Budgeting Practices</w:t>
      </w:r>
    </w:p>
    <w:tbl>
      <w:tblPr>
        <w:tblW w:w="7140" w:type="dxa"/>
        <w:tblInd w:w="96" w:type="dxa"/>
        <w:tblLayout w:type="fixed"/>
        <w:tblLook w:val="04A0" w:firstRow="1" w:lastRow="0" w:firstColumn="1" w:lastColumn="0" w:noHBand="0" w:noVBand="1"/>
      </w:tblPr>
      <w:tblGrid>
        <w:gridCol w:w="1470"/>
        <w:gridCol w:w="1887"/>
        <w:gridCol w:w="1887"/>
        <w:gridCol w:w="1896"/>
      </w:tblGrid>
      <w:tr w:rsidR="002C73D0" w14:paraId="402142A8" w14:textId="77777777">
        <w:trPr>
          <w:trHeight w:val="293"/>
        </w:trPr>
        <w:tc>
          <w:tcPr>
            <w:tcW w:w="714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DDBAC" w14:textId="77777777" w:rsidR="002C73D0" w:rsidRDefault="00000000">
            <w:pPr>
              <w:spacing w:after="120" w:line="240" w:lineRule="auto"/>
              <w:jc w:val="center"/>
              <w:textAlignment w:val="center"/>
              <w:rPr>
                <w:rFonts w:ascii="Segoe UI" w:hAnsi="Segoe UI" w:cs="Segoe UI"/>
                <w:color w:val="000000"/>
              </w:rPr>
            </w:pPr>
            <w:r>
              <w:rPr>
                <w:rFonts w:ascii="Segoe UI" w:eastAsia="SimSun" w:hAnsi="Segoe UI" w:cs="Segoe UI"/>
                <w:color w:val="000000"/>
                <w:lang w:val="en-US" w:eastAsia="zh-CN" w:bidi="ar"/>
              </w:rPr>
              <w:t xml:space="preserve">Does your </w:t>
            </w:r>
            <w:r>
              <w:rPr>
                <w:rFonts w:ascii="Segoe UI" w:eastAsia="SimSun" w:hAnsi="Segoe UI" w:cs="Segoe UI"/>
                <w:color w:val="000000"/>
                <w:lang w:eastAsia="zh-CN" w:bidi="ar"/>
              </w:rPr>
              <w:t>household</w:t>
            </w:r>
            <w:r>
              <w:rPr>
                <w:rFonts w:ascii="Segoe UI" w:eastAsia="SimSun" w:hAnsi="Segoe UI" w:cs="Segoe UI"/>
                <w:color w:val="000000"/>
                <w:lang w:val="en-US" w:eastAsia="zh-CN" w:bidi="ar"/>
              </w:rPr>
              <w:t xml:space="preserve"> set budget for food</w:t>
            </w:r>
          </w:p>
        </w:tc>
      </w:tr>
      <w:tr w:rsidR="002C73D0" w14:paraId="4F4F26B5" w14:textId="77777777">
        <w:trPr>
          <w:trHeight w:val="530"/>
        </w:trPr>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6F375" w14:textId="77777777" w:rsidR="002C73D0" w:rsidRDefault="002C73D0">
            <w:pPr>
              <w:spacing w:after="120" w:line="240" w:lineRule="auto"/>
              <w:rPr>
                <w:rFonts w:ascii="Segoe UI" w:hAnsi="Segoe UI" w:cs="Segoe UI"/>
                <w:color w:val="000000"/>
              </w:rPr>
            </w:pPr>
          </w:p>
        </w:tc>
        <w:tc>
          <w:tcPr>
            <w:tcW w:w="18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6B3D5"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18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DD489"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F63A9"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1A361056" w14:textId="77777777">
        <w:trPr>
          <w:trHeight w:val="293"/>
        </w:trPr>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CBF34"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Yes</w:t>
            </w:r>
          </w:p>
        </w:tc>
        <w:tc>
          <w:tcPr>
            <w:tcW w:w="18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F25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36.25</w:t>
            </w:r>
          </w:p>
        </w:tc>
        <w:tc>
          <w:tcPr>
            <w:tcW w:w="18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22776"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50.91</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0CAE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47</w:t>
            </w:r>
          </w:p>
        </w:tc>
      </w:tr>
      <w:tr w:rsidR="002C73D0" w14:paraId="73D154CD" w14:textId="77777777">
        <w:trPr>
          <w:trHeight w:val="312"/>
        </w:trPr>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D8118"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No</w:t>
            </w:r>
          </w:p>
        </w:tc>
        <w:tc>
          <w:tcPr>
            <w:tcW w:w="18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E44FE"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63.75</w:t>
            </w:r>
          </w:p>
        </w:tc>
        <w:tc>
          <w:tcPr>
            <w:tcW w:w="18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9A4DC"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49.09</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6449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53</w:t>
            </w:r>
          </w:p>
        </w:tc>
      </w:tr>
    </w:tbl>
    <w:p w14:paraId="2C7B73B2" w14:textId="77777777" w:rsidR="002B0CB5" w:rsidRDefault="002B0CB5">
      <w:pPr>
        <w:spacing w:after="120" w:line="240" w:lineRule="auto"/>
        <w:jc w:val="both"/>
        <w:rPr>
          <w:rFonts w:ascii="Segoe UI" w:hAnsi="Segoe UI" w:cs="Segoe UI"/>
          <w:sz w:val="24"/>
          <w:szCs w:val="24"/>
        </w:rPr>
      </w:pPr>
    </w:p>
    <w:p w14:paraId="40AF2C6A" w14:textId="5DC6BE32" w:rsidR="002C73D0" w:rsidRDefault="00000000">
      <w:pPr>
        <w:spacing w:after="120" w:line="240" w:lineRule="auto"/>
        <w:jc w:val="both"/>
        <w:rPr>
          <w:rFonts w:ascii="Segoe UI" w:hAnsi="Segoe UI" w:cs="Segoe UI"/>
          <w:sz w:val="24"/>
          <w:szCs w:val="24"/>
        </w:rPr>
      </w:pPr>
      <w:r>
        <w:rPr>
          <w:rFonts w:ascii="Segoe UI" w:hAnsi="Segoe UI" w:cs="Segoe UI"/>
          <w:sz w:val="24"/>
          <w:szCs w:val="24"/>
        </w:rPr>
        <w:t>Budget allocation presents further insights. Table 5 shows that 63.75% of female-headed households do not set a food budget, compared to 49.09% in male-headed households. This lack of budgeting in female-headed households may lead to difficulties in managing food expenses and prioritizing nutrition, ultimately affecting the overall dietary quality and food security.</w:t>
      </w:r>
    </w:p>
    <w:p w14:paraId="337947F1" w14:textId="77777777" w:rsidR="002B0CB5" w:rsidRDefault="002B0CB5">
      <w:pPr>
        <w:spacing w:after="120" w:line="240" w:lineRule="auto"/>
        <w:jc w:val="both"/>
        <w:rPr>
          <w:rFonts w:ascii="Segoe UI" w:hAnsi="Segoe UI" w:cs="Segoe UI"/>
          <w:sz w:val="24"/>
          <w:szCs w:val="24"/>
        </w:rPr>
      </w:pPr>
    </w:p>
    <w:p w14:paraId="1B47C6BC"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6: Decision-Making in Food Consumption and Budgeting</w:t>
      </w:r>
    </w:p>
    <w:tbl>
      <w:tblPr>
        <w:tblW w:w="9146" w:type="dxa"/>
        <w:tblInd w:w="96" w:type="dxa"/>
        <w:tblLayout w:type="fixed"/>
        <w:tblLook w:val="04A0" w:firstRow="1" w:lastRow="0" w:firstColumn="1" w:lastColumn="0" w:noHBand="0" w:noVBand="1"/>
      </w:tblPr>
      <w:tblGrid>
        <w:gridCol w:w="1765"/>
        <w:gridCol w:w="1230"/>
        <w:gridCol w:w="1230"/>
        <w:gridCol w:w="1230"/>
        <w:gridCol w:w="1230"/>
        <w:gridCol w:w="1230"/>
        <w:gridCol w:w="1231"/>
      </w:tblGrid>
      <w:tr w:rsidR="002C73D0" w14:paraId="494F2534" w14:textId="77777777">
        <w:trPr>
          <w:trHeight w:val="289"/>
        </w:trPr>
        <w:tc>
          <w:tcPr>
            <w:tcW w:w="1765" w:type="dxa"/>
            <w:vMerge w:val="restart"/>
            <w:tcBorders>
              <w:top w:val="single" w:sz="4" w:space="0" w:color="000000"/>
              <w:left w:val="single" w:sz="4" w:space="0" w:color="000000"/>
              <w:right w:val="single" w:sz="4" w:space="0" w:color="000000"/>
            </w:tcBorders>
            <w:shd w:val="clear" w:color="auto" w:fill="auto"/>
            <w:noWrap/>
            <w:vAlign w:val="bottom"/>
          </w:tcPr>
          <w:p w14:paraId="2B9FE72D" w14:textId="77777777" w:rsidR="002C73D0" w:rsidRDefault="002C73D0">
            <w:pPr>
              <w:spacing w:after="120" w:line="240" w:lineRule="auto"/>
              <w:jc w:val="center"/>
              <w:textAlignment w:val="center"/>
              <w:rPr>
                <w:rFonts w:ascii="Segoe UI" w:hAnsi="Segoe UI" w:cs="Segoe UI"/>
                <w:color w:val="000000"/>
              </w:rPr>
            </w:pPr>
          </w:p>
        </w:tc>
        <w:tc>
          <w:tcPr>
            <w:tcW w:w="369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746AC3"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Who primar</w:t>
            </w:r>
            <w:r>
              <w:rPr>
                <w:rFonts w:ascii="Segoe UI" w:eastAsia="SimSun" w:hAnsi="Segoe UI" w:cs="Segoe UI"/>
                <w:color w:val="000000"/>
                <w:lang w:eastAsia="zh-CN" w:bidi="ar"/>
              </w:rPr>
              <w:t>ily</w:t>
            </w:r>
            <w:r>
              <w:rPr>
                <w:rFonts w:ascii="Segoe UI" w:eastAsia="SimSun" w:hAnsi="Segoe UI" w:cs="Segoe UI"/>
                <w:color w:val="000000"/>
                <w:lang w:val="en-US" w:eastAsia="zh-CN" w:bidi="ar"/>
              </w:rPr>
              <w:t xml:space="preserve"> make</w:t>
            </w:r>
            <w:r>
              <w:rPr>
                <w:rFonts w:ascii="Segoe UI" w:eastAsia="SimSun" w:hAnsi="Segoe UI" w:cs="Segoe UI"/>
                <w:color w:val="000000"/>
                <w:lang w:eastAsia="zh-CN" w:bidi="ar"/>
              </w:rPr>
              <w:t>s</w:t>
            </w:r>
            <w:r>
              <w:rPr>
                <w:rFonts w:ascii="Segoe UI" w:eastAsia="SimSun" w:hAnsi="Segoe UI" w:cs="Segoe UI"/>
                <w:color w:val="000000"/>
                <w:lang w:val="en-US" w:eastAsia="zh-CN" w:bidi="ar"/>
              </w:rPr>
              <w:t xml:space="preserve"> decision regarding what food to consume</w:t>
            </w:r>
          </w:p>
        </w:tc>
        <w:tc>
          <w:tcPr>
            <w:tcW w:w="3691"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308444"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rPr>
              <w:t>Who primar</w:t>
            </w:r>
            <w:r>
              <w:rPr>
                <w:rFonts w:ascii="Segoe UI" w:eastAsia="SimSun" w:hAnsi="Segoe UI" w:cs="Segoe UI"/>
                <w:color w:val="000000"/>
                <w:lang w:eastAsia="zh-CN"/>
              </w:rPr>
              <w:t>ily</w:t>
            </w:r>
            <w:r>
              <w:rPr>
                <w:rFonts w:ascii="Segoe UI" w:eastAsia="SimSun" w:hAnsi="Segoe UI" w:cs="Segoe UI"/>
                <w:color w:val="000000"/>
                <w:lang w:val="en-US" w:eastAsia="zh-CN"/>
              </w:rPr>
              <w:t xml:space="preserve"> make</w:t>
            </w:r>
            <w:r>
              <w:rPr>
                <w:rFonts w:ascii="Segoe UI" w:eastAsia="SimSun" w:hAnsi="Segoe UI" w:cs="Segoe UI"/>
                <w:color w:val="000000"/>
                <w:lang w:eastAsia="zh-CN"/>
              </w:rPr>
              <w:t>s</w:t>
            </w:r>
            <w:r>
              <w:rPr>
                <w:rFonts w:ascii="Segoe UI" w:eastAsia="SimSun" w:hAnsi="Segoe UI" w:cs="Segoe UI"/>
                <w:color w:val="000000"/>
                <w:lang w:val="en-US" w:eastAsia="zh-CN"/>
              </w:rPr>
              <w:t xml:space="preserve"> decision regarding food budget and purchase</w:t>
            </w:r>
          </w:p>
        </w:tc>
      </w:tr>
      <w:tr w:rsidR="002C73D0" w14:paraId="79EC8441" w14:textId="77777777">
        <w:trPr>
          <w:trHeight w:val="289"/>
        </w:trPr>
        <w:tc>
          <w:tcPr>
            <w:tcW w:w="1765" w:type="dxa"/>
            <w:vMerge/>
            <w:tcBorders>
              <w:left w:val="single" w:sz="4" w:space="0" w:color="000000"/>
              <w:bottom w:val="single" w:sz="4" w:space="0" w:color="000000"/>
              <w:right w:val="single" w:sz="4" w:space="0" w:color="000000"/>
            </w:tcBorders>
            <w:shd w:val="clear" w:color="auto" w:fill="auto"/>
            <w:noWrap/>
            <w:vAlign w:val="bottom"/>
          </w:tcPr>
          <w:p w14:paraId="7C532982" w14:textId="77777777" w:rsidR="002C73D0" w:rsidRDefault="002C73D0">
            <w:pPr>
              <w:spacing w:after="120" w:line="240" w:lineRule="auto"/>
              <w:rPr>
                <w:rFonts w:ascii="Segoe UI" w:hAnsi="Segoe UI" w:cs="Segoe UI"/>
                <w:color w:val="000000"/>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6C5677"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3DDEFB"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A03586"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32368F" w14:textId="77777777" w:rsidR="002C73D0" w:rsidRDefault="00000000">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Female-headed</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6406D4" w14:textId="77777777" w:rsidR="002C73D0" w:rsidRDefault="00000000">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Male-headed</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66EF06" w14:textId="77777777" w:rsidR="002C73D0" w:rsidRDefault="00000000">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Total</w:t>
            </w:r>
          </w:p>
        </w:tc>
      </w:tr>
      <w:tr w:rsidR="002C73D0" w14:paraId="664E87A9" w14:textId="77777777">
        <w:trPr>
          <w:trHeight w:val="289"/>
        </w:trPr>
        <w:tc>
          <w:tcPr>
            <w:tcW w:w="17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9AB1F8"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 spouse</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AA306A"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1.25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102A9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16.82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40127C"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12.67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11CC73"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1.25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DD5AD4"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29.55</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F24505"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22</w:t>
            </w:r>
          </w:p>
        </w:tc>
      </w:tr>
      <w:tr w:rsidR="002C73D0" w14:paraId="713F2A4E" w14:textId="77777777">
        <w:trPr>
          <w:trHeight w:val="289"/>
        </w:trPr>
        <w:tc>
          <w:tcPr>
            <w:tcW w:w="17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B75D19"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 spouse</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7B67D8"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51.25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4B8257"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52.73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D41847"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52.33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B41902"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304AEE"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38.18</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B740D6"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41.33</w:t>
            </w:r>
          </w:p>
        </w:tc>
      </w:tr>
      <w:tr w:rsidR="002C73D0" w14:paraId="024162BA" w14:textId="77777777">
        <w:trPr>
          <w:trHeight w:val="289"/>
        </w:trPr>
        <w:tc>
          <w:tcPr>
            <w:tcW w:w="17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46E700"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Joint</w:t>
            </w:r>
            <w:r>
              <w:rPr>
                <w:rFonts w:ascii="Segoe UI" w:eastAsia="SimSun" w:hAnsi="Segoe UI" w:cs="Segoe UI"/>
                <w:color w:val="000000"/>
                <w:lang w:eastAsia="zh-CN" w:bidi="ar"/>
              </w:rPr>
              <w:t>ly</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18BDCB"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3609F0"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27.73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27F2F6"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A098BD"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3.75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106E8A"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30</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6D82D8"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23</w:t>
            </w:r>
          </w:p>
        </w:tc>
      </w:tr>
      <w:tr w:rsidR="002C73D0" w14:paraId="6744D66F" w14:textId="77777777">
        <w:trPr>
          <w:trHeight w:val="289"/>
        </w:trPr>
        <w:tc>
          <w:tcPr>
            <w:tcW w:w="17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752D46"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Other members</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5696A6"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DE1BF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2.73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E3E5BD"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F16C09"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45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CA7015"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2.27</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3AB52B"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13.67</w:t>
            </w:r>
          </w:p>
        </w:tc>
      </w:tr>
    </w:tbl>
    <w:p w14:paraId="2D0829F1" w14:textId="77777777" w:rsidR="002B0CB5" w:rsidRDefault="002B0CB5">
      <w:pPr>
        <w:spacing w:after="120" w:line="240" w:lineRule="auto"/>
        <w:jc w:val="both"/>
        <w:rPr>
          <w:rFonts w:ascii="Segoe UI" w:hAnsi="Segoe UI" w:cs="Segoe UI"/>
          <w:sz w:val="24"/>
          <w:szCs w:val="24"/>
        </w:rPr>
      </w:pPr>
    </w:p>
    <w:p w14:paraId="56E359C9" w14:textId="5116732B" w:rsidR="002C73D0" w:rsidRDefault="00000000">
      <w:pPr>
        <w:spacing w:after="120" w:line="240" w:lineRule="auto"/>
        <w:jc w:val="both"/>
        <w:rPr>
          <w:rFonts w:ascii="Segoe UI" w:hAnsi="Segoe UI" w:cs="Segoe UI"/>
          <w:sz w:val="24"/>
          <w:szCs w:val="24"/>
        </w:rPr>
      </w:pPr>
      <w:r>
        <w:rPr>
          <w:rFonts w:ascii="Segoe UI" w:hAnsi="Segoe UI" w:cs="Segoe UI"/>
          <w:sz w:val="24"/>
          <w:szCs w:val="24"/>
        </w:rPr>
        <w:t>Decision-making regarding food consumption reveals that female spouses often dominate this area, regardless of household type. According to Table 6, 52.33% of food consumption decisions are made by female spouses, with a notable influence from male spouses in male-headed households (16.82%). Budgeting decisions also involve female spouses significantly (50%) in female-headed households, while male spouses contribute notably in male-headed households (29.55%).</w:t>
      </w:r>
      <w:r w:rsidR="000D5374">
        <w:rPr>
          <w:rFonts w:ascii="Segoe UI" w:hAnsi="Segoe UI" w:cs="Segoe UI"/>
          <w:sz w:val="24"/>
          <w:szCs w:val="24"/>
        </w:rPr>
        <w:t xml:space="preserve"> </w:t>
      </w:r>
      <w:r w:rsidR="000D5374" w:rsidRPr="000D5374">
        <w:rPr>
          <w:rFonts w:ascii="Segoe UI" w:hAnsi="Segoe UI" w:cs="Segoe UI"/>
          <w:sz w:val="24"/>
          <w:szCs w:val="24"/>
        </w:rPr>
        <w:t xml:space="preserve">%). </w:t>
      </w:r>
      <w:r w:rsidR="000D5374">
        <w:rPr>
          <w:rFonts w:ascii="Segoe UI" w:hAnsi="Segoe UI" w:cs="Segoe UI"/>
          <w:sz w:val="24"/>
          <w:szCs w:val="24"/>
        </w:rPr>
        <w:t>T</w:t>
      </w:r>
      <w:r w:rsidR="000D5374" w:rsidRPr="000D5374">
        <w:rPr>
          <w:rFonts w:ascii="Segoe UI" w:hAnsi="Segoe UI" w:cs="Segoe UI"/>
          <w:sz w:val="24"/>
          <w:szCs w:val="24"/>
        </w:rPr>
        <w:t>hese findings align with Lundh (2022), who notes that decisions about food are typically made by female adults, whether they are spouses or household heads</w:t>
      </w:r>
      <w:r w:rsidR="000D5374">
        <w:rPr>
          <w:rFonts w:ascii="Segoe UI" w:hAnsi="Segoe UI" w:cs="Segoe UI"/>
          <w:sz w:val="24"/>
          <w:szCs w:val="24"/>
        </w:rPr>
        <w:t xml:space="preserve">. </w:t>
      </w:r>
      <w:r>
        <w:rPr>
          <w:rFonts w:ascii="Segoe UI" w:hAnsi="Segoe UI" w:cs="Segoe UI"/>
          <w:sz w:val="24"/>
          <w:szCs w:val="24"/>
        </w:rPr>
        <w:t>This indicates that traditional gender roles remain prevalent, but women play a pivotal role in shaping nutritional choices.</w:t>
      </w:r>
    </w:p>
    <w:p w14:paraId="710FD1A1" w14:textId="77777777" w:rsidR="00073AEE" w:rsidRDefault="00073AEE">
      <w:pPr>
        <w:spacing w:after="120" w:line="240" w:lineRule="auto"/>
        <w:jc w:val="both"/>
        <w:rPr>
          <w:rFonts w:ascii="Segoe UI" w:hAnsi="Segoe UI" w:cs="Segoe UI"/>
          <w:sz w:val="24"/>
          <w:szCs w:val="24"/>
        </w:rPr>
      </w:pPr>
    </w:p>
    <w:p w14:paraId="6AF846BD"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lastRenderedPageBreak/>
        <w:t>Table 7: Decision-Making in Food Production for Home and Sale</w:t>
      </w:r>
    </w:p>
    <w:tbl>
      <w:tblPr>
        <w:tblW w:w="9146" w:type="dxa"/>
        <w:tblInd w:w="96" w:type="dxa"/>
        <w:tblLayout w:type="fixed"/>
        <w:tblLook w:val="04A0" w:firstRow="1" w:lastRow="0" w:firstColumn="1" w:lastColumn="0" w:noHBand="0" w:noVBand="1"/>
      </w:tblPr>
      <w:tblGrid>
        <w:gridCol w:w="2149"/>
        <w:gridCol w:w="1166"/>
        <w:gridCol w:w="1166"/>
        <w:gridCol w:w="1166"/>
        <w:gridCol w:w="1166"/>
        <w:gridCol w:w="1166"/>
        <w:gridCol w:w="1167"/>
      </w:tblGrid>
      <w:tr w:rsidR="002C73D0" w14:paraId="1E75E125" w14:textId="77777777" w:rsidTr="000D5374">
        <w:trPr>
          <w:trHeight w:val="288"/>
        </w:trPr>
        <w:tc>
          <w:tcPr>
            <w:tcW w:w="2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EAEE1" w14:textId="77777777" w:rsidR="002C73D0" w:rsidRDefault="002C73D0">
            <w:pPr>
              <w:spacing w:after="120" w:line="240" w:lineRule="auto"/>
              <w:jc w:val="center"/>
              <w:textAlignment w:val="center"/>
              <w:rPr>
                <w:rFonts w:ascii="Segoe UI" w:hAnsi="Segoe UI" w:cs="Segoe UI"/>
                <w:color w:val="000000"/>
              </w:rPr>
            </w:pPr>
          </w:p>
        </w:tc>
        <w:tc>
          <w:tcPr>
            <w:tcW w:w="349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7CF13"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Who primar</w:t>
            </w:r>
            <w:r>
              <w:rPr>
                <w:rFonts w:ascii="Segoe UI" w:eastAsia="SimSun" w:hAnsi="Segoe UI" w:cs="Segoe UI"/>
                <w:color w:val="000000"/>
                <w:lang w:eastAsia="zh-CN" w:bidi="ar"/>
              </w:rPr>
              <w:t>il</w:t>
            </w:r>
            <w:r>
              <w:rPr>
                <w:rFonts w:ascii="Segoe UI" w:eastAsia="SimSun" w:hAnsi="Segoe UI" w:cs="Segoe UI"/>
                <w:color w:val="000000"/>
                <w:lang w:val="en-US" w:eastAsia="zh-CN" w:bidi="ar"/>
              </w:rPr>
              <w:t>y make decision regarding what food to produce for home consumption</w:t>
            </w:r>
          </w:p>
        </w:tc>
        <w:tc>
          <w:tcPr>
            <w:tcW w:w="349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FBD82"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rPr>
              <w:t>Who primar</w:t>
            </w:r>
            <w:r>
              <w:rPr>
                <w:rFonts w:ascii="Segoe UI" w:eastAsia="SimSun" w:hAnsi="Segoe UI" w:cs="Segoe UI"/>
                <w:color w:val="000000"/>
                <w:lang w:eastAsia="zh-CN"/>
              </w:rPr>
              <w:t>il</w:t>
            </w:r>
            <w:r>
              <w:rPr>
                <w:rFonts w:ascii="Segoe UI" w:eastAsia="SimSun" w:hAnsi="Segoe UI" w:cs="Segoe UI"/>
                <w:color w:val="000000"/>
                <w:lang w:val="en-US" w:eastAsia="zh-CN"/>
              </w:rPr>
              <w:t>y make decision regarding what food to produce for sale</w:t>
            </w:r>
          </w:p>
        </w:tc>
      </w:tr>
      <w:tr w:rsidR="002C73D0" w14:paraId="58B615E4" w14:textId="77777777" w:rsidTr="000D5374">
        <w:trPr>
          <w:trHeight w:val="288"/>
        </w:trPr>
        <w:tc>
          <w:tcPr>
            <w:tcW w:w="2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B15C5" w14:textId="77777777" w:rsidR="002C73D0" w:rsidRDefault="002C73D0">
            <w:pPr>
              <w:spacing w:after="120" w:line="240" w:lineRule="auto"/>
              <w:rPr>
                <w:rFonts w:ascii="Segoe UI" w:hAnsi="Segoe UI" w:cs="Segoe UI"/>
                <w:color w:val="000000"/>
              </w:rPr>
            </w:pP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EEB6C"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A8BAA"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CD54B"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F849A" w14:textId="77777777" w:rsidR="002C73D0" w:rsidRDefault="00000000">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Female-headed</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EC011" w14:textId="77777777" w:rsidR="002C73D0" w:rsidRDefault="00000000">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Male-headed</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B27E3" w14:textId="77777777" w:rsidR="002C73D0" w:rsidRDefault="00000000">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Total</w:t>
            </w:r>
          </w:p>
        </w:tc>
      </w:tr>
      <w:tr w:rsidR="002C73D0" w14:paraId="7B753C83" w14:textId="77777777" w:rsidTr="000D5374">
        <w:trPr>
          <w:trHeight w:val="288"/>
        </w:trPr>
        <w:tc>
          <w:tcPr>
            <w:tcW w:w="2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2B148"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 spouse</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7EEC0"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1.25</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EFC30"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21.36</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D9F5E"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16</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7C27F"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1.25</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D6AD1"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26.36</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77DE3"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19.67</w:t>
            </w:r>
          </w:p>
        </w:tc>
      </w:tr>
      <w:tr w:rsidR="002C73D0" w14:paraId="50BE5B23" w14:textId="77777777" w:rsidTr="000D5374">
        <w:trPr>
          <w:trHeight w:val="288"/>
        </w:trPr>
        <w:tc>
          <w:tcPr>
            <w:tcW w:w="2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F6E04"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 spouse</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C762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31.25</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E9DAD"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18.18</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3BCF5"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21.67</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4C4F1"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26.25</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42565"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7.73</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B7758"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12.67</w:t>
            </w:r>
          </w:p>
        </w:tc>
      </w:tr>
      <w:tr w:rsidR="002C73D0" w14:paraId="6A909685" w14:textId="77777777" w:rsidTr="000D5374">
        <w:trPr>
          <w:trHeight w:val="288"/>
        </w:trPr>
        <w:tc>
          <w:tcPr>
            <w:tcW w:w="2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B2468"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eastAsia="zh-CN" w:bidi="ar"/>
              </w:rPr>
              <w:t>Jointly</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089B0"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3.75</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F11F5"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33.64</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0C8E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25.67</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945FF"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3.75</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F4B49"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33.64</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80EE8"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25.67</w:t>
            </w:r>
          </w:p>
        </w:tc>
      </w:tr>
      <w:tr w:rsidR="002C73D0" w14:paraId="5376A1C7" w14:textId="77777777" w:rsidTr="000D5374">
        <w:trPr>
          <w:trHeight w:val="288"/>
        </w:trPr>
        <w:tc>
          <w:tcPr>
            <w:tcW w:w="2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B6E04"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Other members</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87967"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26.25</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6381D"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2.27</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3864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8.67</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23DA8"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15</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45244"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1.82</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4B452"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5.33</w:t>
            </w:r>
          </w:p>
        </w:tc>
      </w:tr>
      <w:tr w:rsidR="002C73D0" w14:paraId="4AA9EFDD" w14:textId="77777777" w:rsidTr="000D5374">
        <w:trPr>
          <w:trHeight w:val="288"/>
        </w:trPr>
        <w:tc>
          <w:tcPr>
            <w:tcW w:w="2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93007"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 xml:space="preserve">We don't produce </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4432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37.5</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00082"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24.55</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06BEB"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28</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8F767"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30</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80CE0"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19.09</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2BAED"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22</w:t>
            </w:r>
          </w:p>
        </w:tc>
      </w:tr>
      <w:tr w:rsidR="002C73D0" w14:paraId="277044A4" w14:textId="77777777" w:rsidTr="000D5374">
        <w:trPr>
          <w:trHeight w:val="288"/>
        </w:trPr>
        <w:tc>
          <w:tcPr>
            <w:tcW w:w="2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3BBFC" w14:textId="77777777" w:rsidR="002C73D0" w:rsidRDefault="00000000">
            <w:pPr>
              <w:spacing w:after="120" w:line="240" w:lineRule="auto"/>
              <w:textAlignment w:val="center"/>
              <w:rPr>
                <w:rFonts w:ascii="Segoe UI" w:eastAsia="SimSun" w:hAnsi="Segoe UI" w:cs="Segoe UI"/>
                <w:color w:val="000000"/>
                <w:lang w:eastAsia="zh-CN" w:bidi="ar"/>
              </w:rPr>
            </w:pPr>
            <w:r>
              <w:rPr>
                <w:rFonts w:ascii="Segoe UI" w:eastAsia="SimSun" w:hAnsi="Segoe UI" w:cs="Segoe UI"/>
                <w:color w:val="000000"/>
                <w:lang w:eastAsia="zh-CN" w:bidi="ar"/>
              </w:rPr>
              <w:t>We don’t sell</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FB66C" w14:textId="77777777" w:rsidR="002C73D0" w:rsidRDefault="002C73D0">
            <w:pPr>
              <w:spacing w:after="120" w:line="240" w:lineRule="auto"/>
              <w:jc w:val="right"/>
              <w:textAlignment w:val="center"/>
              <w:rPr>
                <w:rFonts w:ascii="Segoe UI" w:eastAsia="SimSun" w:hAnsi="Segoe UI" w:cs="Segoe UI"/>
                <w:color w:val="000000"/>
                <w:lang w:val="en-US" w:eastAsia="zh-CN" w:bidi="ar"/>
              </w:rPr>
            </w:pP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61B17" w14:textId="77777777" w:rsidR="002C73D0" w:rsidRDefault="002C73D0">
            <w:pPr>
              <w:spacing w:after="120" w:line="240" w:lineRule="auto"/>
              <w:jc w:val="right"/>
              <w:textAlignment w:val="center"/>
              <w:rPr>
                <w:rFonts w:ascii="Segoe UI" w:eastAsia="SimSun" w:hAnsi="Segoe UI" w:cs="Segoe UI"/>
                <w:color w:val="000000"/>
                <w:lang w:val="en-US" w:eastAsia="zh-CN" w:bidi="ar"/>
              </w:rPr>
            </w:pP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9EA44" w14:textId="77777777" w:rsidR="002C73D0" w:rsidRDefault="002C73D0">
            <w:pPr>
              <w:spacing w:after="120" w:line="240" w:lineRule="auto"/>
              <w:jc w:val="right"/>
              <w:textAlignment w:val="center"/>
              <w:rPr>
                <w:rFonts w:ascii="Segoe UI" w:eastAsia="SimSun" w:hAnsi="Segoe UI" w:cs="Segoe UI"/>
                <w:color w:val="000000"/>
                <w:lang w:val="en-US" w:eastAsia="zh-CN" w:bidi="ar"/>
              </w:rPr>
            </w:pP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D134A"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23.75</w:t>
            </w:r>
          </w:p>
        </w:tc>
        <w:tc>
          <w:tcPr>
            <w:tcW w:w="11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9B687"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11.36</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C3F2D"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w:t>
            </w:r>
          </w:p>
        </w:tc>
      </w:tr>
    </w:tbl>
    <w:p w14:paraId="1B559FCE" w14:textId="77777777" w:rsidR="002B0CB5" w:rsidRDefault="002B0CB5">
      <w:pPr>
        <w:spacing w:after="120" w:line="240" w:lineRule="auto"/>
        <w:jc w:val="both"/>
        <w:rPr>
          <w:rFonts w:ascii="Segoe UI" w:hAnsi="Segoe UI" w:cs="Segoe UI"/>
          <w:sz w:val="24"/>
          <w:szCs w:val="24"/>
        </w:rPr>
      </w:pPr>
    </w:p>
    <w:p w14:paraId="433501B2" w14:textId="6ACB1261" w:rsidR="002B0CB5" w:rsidRDefault="00000000">
      <w:pPr>
        <w:spacing w:after="120" w:line="240" w:lineRule="auto"/>
        <w:jc w:val="both"/>
        <w:rPr>
          <w:rFonts w:ascii="Segoe UI" w:hAnsi="Segoe UI" w:cs="Segoe UI"/>
          <w:sz w:val="24"/>
          <w:szCs w:val="24"/>
        </w:rPr>
      </w:pPr>
      <w:r>
        <w:rPr>
          <w:rFonts w:ascii="Segoe UI" w:hAnsi="Segoe UI" w:cs="Segoe UI"/>
          <w:sz w:val="24"/>
          <w:szCs w:val="24"/>
        </w:rPr>
        <w:t>Table 7 examines decision-making regarding food production for home consumption and sale. In both household types, joint decisions play a significant role, with 33.64% of decisions being made collaboratively in male-headed households. However, in female-headed households, other members significantly influence food production, accounting for 26.25% of decisions regarding home consumption. Female spouses make 31.25% of these decisions, highlighting their crucial role, while male spouses have minimal influence (1.25%). In contrast, male spouses dominate decision-making in male-headed households, with 21.36% for home consumption and 26.36% for sales.</w:t>
      </w:r>
      <w:r w:rsidR="000D5374">
        <w:rPr>
          <w:rFonts w:ascii="Segoe UI" w:hAnsi="Segoe UI" w:cs="Segoe UI"/>
          <w:sz w:val="24"/>
          <w:szCs w:val="24"/>
        </w:rPr>
        <w:t xml:space="preserve"> </w:t>
      </w:r>
      <w:r w:rsidR="00ED2386" w:rsidRPr="00ED2386">
        <w:rPr>
          <w:rFonts w:ascii="Segoe UI" w:hAnsi="Segoe UI" w:cs="Segoe UI"/>
          <w:sz w:val="24"/>
          <w:szCs w:val="24"/>
        </w:rPr>
        <w:t xml:space="preserve">These findings </w:t>
      </w:r>
      <w:r w:rsidR="00ED2386">
        <w:rPr>
          <w:rFonts w:ascii="Segoe UI" w:hAnsi="Segoe UI" w:cs="Segoe UI"/>
          <w:sz w:val="24"/>
          <w:szCs w:val="24"/>
        </w:rPr>
        <w:t xml:space="preserve">are consistent </w:t>
      </w:r>
      <w:r w:rsidR="00ED2386" w:rsidRPr="00ED2386">
        <w:rPr>
          <w:rFonts w:ascii="Segoe UI" w:hAnsi="Segoe UI" w:cs="Segoe UI"/>
          <w:sz w:val="24"/>
          <w:szCs w:val="24"/>
        </w:rPr>
        <w:t xml:space="preserve">with the study by Aberman </w:t>
      </w:r>
      <w:r w:rsidR="002C65D4">
        <w:rPr>
          <w:rFonts w:ascii="Segoe UI" w:hAnsi="Segoe UI" w:cs="Segoe UI"/>
          <w:sz w:val="24"/>
          <w:szCs w:val="24"/>
        </w:rPr>
        <w:t>and</w:t>
      </w:r>
      <w:r w:rsidR="00ED2386" w:rsidRPr="00ED2386">
        <w:rPr>
          <w:rFonts w:ascii="Segoe UI" w:hAnsi="Segoe UI" w:cs="Segoe UI"/>
          <w:sz w:val="24"/>
          <w:szCs w:val="24"/>
        </w:rPr>
        <w:t xml:space="preserve"> Roopnaraine (2020), which highlights that household decisions on crop production, consumption, and sale are often made jointly.</w:t>
      </w:r>
      <w:r w:rsidR="00ED2386">
        <w:rPr>
          <w:rFonts w:ascii="Segoe UI" w:hAnsi="Segoe UI" w:cs="Segoe UI"/>
          <w:sz w:val="24"/>
          <w:szCs w:val="24"/>
        </w:rPr>
        <w:t xml:space="preserve"> </w:t>
      </w:r>
      <w:r>
        <w:rPr>
          <w:rFonts w:ascii="Segoe UI" w:hAnsi="Segoe UI" w:cs="Segoe UI"/>
          <w:sz w:val="24"/>
          <w:szCs w:val="24"/>
        </w:rPr>
        <w:t xml:space="preserve">This indicates that, while female spouses are key decision-makers, the dynamics reveal traditional roles and the importance of collective decision-making within households. </w:t>
      </w:r>
    </w:p>
    <w:p w14:paraId="18AA9529" w14:textId="638ED9C3" w:rsidR="002C73D0" w:rsidRDefault="00000000">
      <w:pPr>
        <w:spacing w:after="120" w:line="240" w:lineRule="auto"/>
        <w:jc w:val="both"/>
        <w:rPr>
          <w:rFonts w:ascii="Segoe UI" w:hAnsi="Segoe UI" w:cs="Segoe UI"/>
          <w:sz w:val="24"/>
          <w:szCs w:val="24"/>
        </w:rPr>
      </w:pPr>
      <w:r>
        <w:rPr>
          <w:rFonts w:ascii="Segoe UI" w:hAnsi="Segoe UI" w:cs="Segoe UI"/>
          <w:sz w:val="24"/>
          <w:szCs w:val="24"/>
        </w:rPr>
        <w:t>The findings reveal significant gender differences in nutrition training and its impact on food consumption. Male-headed households receive more training (45.45%) compared to female-headed households (30%), although both acknowledge gender roles in the training. Female adults are the primary recipients of this education, indicating a gender imbalance that limits broader household engagement, particularly among children.</w:t>
      </w:r>
    </w:p>
    <w:p w14:paraId="63290FEC"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 xml:space="preserve">Awareness of nutritious foods and balanced diets is notably higher among females, with 63.75% of females in female-headed households demonstrating knowledge, compared to just 11.25% of males. Following training, both household types reported increased fruit and vegetable consumption, yet understanding of nutritional labels remains low, suggesting room for improvement. Additionally, the lack of a food budget in 63.75% of female-headed households highlights challenges in managing food expenses, which can adversely affect nutritional quality. Overall, traditional </w:t>
      </w:r>
      <w:r>
        <w:rPr>
          <w:rFonts w:ascii="Segoe UI" w:hAnsi="Segoe UI" w:cs="Segoe UI"/>
          <w:sz w:val="24"/>
          <w:szCs w:val="24"/>
        </w:rPr>
        <w:lastRenderedPageBreak/>
        <w:t>gender dynamics continue to influence food decision-making, emphasizing the need for targeted interventions to enhance food security and health outcomes for all household members.</w:t>
      </w:r>
    </w:p>
    <w:p w14:paraId="409C2627" w14:textId="77777777" w:rsidR="00CF51FC" w:rsidRDefault="00CF51FC" w:rsidP="00CF51FC">
      <w:pPr>
        <w:spacing w:after="120" w:line="240" w:lineRule="auto"/>
        <w:jc w:val="both"/>
        <w:rPr>
          <w:rFonts w:ascii="Segoe UI" w:hAnsi="Segoe UI" w:cs="Segoe UI"/>
          <w:sz w:val="24"/>
          <w:szCs w:val="24"/>
        </w:rPr>
      </w:pPr>
    </w:p>
    <w:p w14:paraId="02C6FC8F" w14:textId="41708ED8" w:rsidR="002C73D0" w:rsidRDefault="00000000">
      <w:pPr>
        <w:pStyle w:val="Heading2"/>
        <w:spacing w:before="120" w:after="180" w:line="240" w:lineRule="auto"/>
        <w:rPr>
          <w:rFonts w:ascii="Segoe UI" w:hAnsi="Segoe UI" w:cs="Segoe UI"/>
          <w:sz w:val="26"/>
          <w:szCs w:val="26"/>
        </w:rPr>
      </w:pPr>
      <w:bookmarkStart w:id="4" w:name="_Hlk183627798"/>
      <w:r>
        <w:rPr>
          <w:rFonts w:ascii="Segoe UI" w:hAnsi="Segoe UI" w:cs="Segoe UI"/>
          <w:sz w:val="26"/>
          <w:szCs w:val="26"/>
        </w:rPr>
        <w:t>3.2 Accessibility, Utilization and Consumption Pattern of Nutritious Food</w:t>
      </w:r>
    </w:p>
    <w:bookmarkEnd w:id="4"/>
    <w:p w14:paraId="26D39F7D"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This section examines the accessibility, utilization, and consumption patterns of nutritious foods, highlighting gender disparities and their implications for dietary choices and overall health outcomes.</w:t>
      </w:r>
    </w:p>
    <w:p w14:paraId="1F9A5854"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8: Main Source of Food</w:t>
      </w:r>
    </w:p>
    <w:tbl>
      <w:tblPr>
        <w:tblW w:w="6559" w:type="dxa"/>
        <w:tblInd w:w="96" w:type="dxa"/>
        <w:tblLook w:val="04A0" w:firstRow="1" w:lastRow="0" w:firstColumn="1" w:lastColumn="0" w:noHBand="0" w:noVBand="1"/>
      </w:tblPr>
      <w:tblGrid>
        <w:gridCol w:w="1870"/>
        <w:gridCol w:w="1722"/>
        <w:gridCol w:w="1508"/>
        <w:gridCol w:w="1459"/>
      </w:tblGrid>
      <w:tr w:rsidR="002C73D0" w14:paraId="22A3F950" w14:textId="77777777" w:rsidTr="00BD12DC">
        <w:trPr>
          <w:trHeight w:val="288"/>
        </w:trPr>
        <w:tc>
          <w:tcPr>
            <w:tcW w:w="6559"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B57CB" w14:textId="77777777" w:rsidR="002C73D0" w:rsidRDefault="00000000">
            <w:pPr>
              <w:spacing w:after="120" w:line="240" w:lineRule="auto"/>
              <w:jc w:val="center"/>
              <w:textAlignment w:val="center"/>
              <w:rPr>
                <w:rFonts w:ascii="Segoe UI" w:hAnsi="Segoe UI" w:cs="Segoe UI"/>
                <w:color w:val="000000"/>
              </w:rPr>
            </w:pPr>
            <w:r>
              <w:rPr>
                <w:rFonts w:ascii="Segoe UI" w:eastAsia="SimSun" w:hAnsi="Segoe UI" w:cs="Segoe UI"/>
                <w:color w:val="000000"/>
                <w:lang w:val="en-US" w:eastAsia="zh-CN" w:bidi="ar"/>
              </w:rPr>
              <w:t>Main source of food</w:t>
            </w:r>
          </w:p>
        </w:tc>
      </w:tr>
      <w:tr w:rsidR="002C73D0" w14:paraId="5E681E5D" w14:textId="77777777" w:rsidTr="00BD12D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04191" w14:textId="77777777" w:rsidR="002C73D0" w:rsidRDefault="002C73D0">
            <w:pPr>
              <w:spacing w:after="120" w:line="240" w:lineRule="auto"/>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00070"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D9B55"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4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CF321"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5F2552EF" w14:textId="77777777" w:rsidTr="00BD12D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1CCC5"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Own production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98C7D"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F78F7"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43.18</w:t>
            </w:r>
          </w:p>
        </w:tc>
        <w:tc>
          <w:tcPr>
            <w:tcW w:w="14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0889A"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38.67</w:t>
            </w:r>
          </w:p>
        </w:tc>
      </w:tr>
      <w:tr w:rsidR="002C73D0" w14:paraId="765C0DA4" w14:textId="77777777" w:rsidTr="00BD12D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B969B"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Periodic market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D94D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408D3"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15.91</w:t>
            </w:r>
          </w:p>
        </w:tc>
        <w:tc>
          <w:tcPr>
            <w:tcW w:w="14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33EC6"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20.33</w:t>
            </w:r>
          </w:p>
        </w:tc>
      </w:tr>
      <w:tr w:rsidR="002C73D0" w14:paraId="1C07E619" w14:textId="77777777" w:rsidTr="00BD12D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44164"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Local market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D7A10"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07E66"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19.09</w:t>
            </w:r>
          </w:p>
        </w:tc>
        <w:tc>
          <w:tcPr>
            <w:tcW w:w="14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DC694"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18.67</w:t>
            </w:r>
          </w:p>
        </w:tc>
      </w:tr>
      <w:tr w:rsidR="002C73D0" w14:paraId="454EE3A6" w14:textId="77777777" w:rsidTr="00BD12D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307BF"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Retail market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D3334"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245C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21.36</w:t>
            </w:r>
          </w:p>
        </w:tc>
        <w:tc>
          <w:tcPr>
            <w:tcW w:w="14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CC99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21.67</w:t>
            </w:r>
          </w:p>
        </w:tc>
      </w:tr>
      <w:tr w:rsidR="002C73D0" w14:paraId="5CF1F3E0" w14:textId="77777777" w:rsidTr="00BD12D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034D0"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food aid/support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703C7"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8B8A4"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0</w:t>
            </w:r>
          </w:p>
        </w:tc>
        <w:tc>
          <w:tcPr>
            <w:tcW w:w="14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0532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0.33</w:t>
            </w:r>
          </w:p>
        </w:tc>
      </w:tr>
      <w:tr w:rsidR="002C73D0" w14:paraId="6D5D1C08" w14:textId="77777777" w:rsidTr="00BD12D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5BEE0"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Others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883CC"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4FC94"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0.45</w:t>
            </w:r>
          </w:p>
        </w:tc>
        <w:tc>
          <w:tcPr>
            <w:tcW w:w="14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AA0F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0.33</w:t>
            </w:r>
          </w:p>
        </w:tc>
      </w:tr>
    </w:tbl>
    <w:p w14:paraId="280960FC" w14:textId="77777777" w:rsidR="002C73D0" w:rsidRDefault="002C73D0">
      <w:pPr>
        <w:spacing w:after="120" w:line="240" w:lineRule="auto"/>
        <w:jc w:val="both"/>
        <w:rPr>
          <w:rFonts w:ascii="Segoe UI" w:hAnsi="Segoe UI" w:cs="Segoe UI"/>
          <w:sz w:val="24"/>
          <w:szCs w:val="24"/>
        </w:rPr>
      </w:pPr>
    </w:p>
    <w:p w14:paraId="0ADA639D" w14:textId="1829F2B5" w:rsidR="002C73D0" w:rsidRDefault="00000000">
      <w:pPr>
        <w:spacing w:after="120" w:line="240" w:lineRule="auto"/>
        <w:jc w:val="both"/>
        <w:rPr>
          <w:rFonts w:ascii="Segoe UI" w:hAnsi="Segoe UI" w:cs="Segoe UI"/>
          <w:sz w:val="24"/>
          <w:szCs w:val="24"/>
        </w:rPr>
      </w:pPr>
      <w:r>
        <w:rPr>
          <w:rFonts w:ascii="Segoe UI" w:hAnsi="Segoe UI" w:cs="Segoe UI"/>
          <w:sz w:val="24"/>
          <w:szCs w:val="24"/>
        </w:rPr>
        <w:t>The data reveals significant gender disparities in food sourcing. As illustrated in Table 8, male-headed households primarily depend on their own production (43.18%), while female-headed households tend to utilize periodic markets more (32.5%).</w:t>
      </w:r>
      <w:r w:rsidR="008D06CF">
        <w:rPr>
          <w:rFonts w:ascii="Segoe UI" w:hAnsi="Segoe UI" w:cs="Segoe UI"/>
          <w:sz w:val="24"/>
          <w:szCs w:val="24"/>
        </w:rPr>
        <w:t xml:space="preserve"> H</w:t>
      </w:r>
      <w:r w:rsidR="008D06CF" w:rsidRPr="00B618C5">
        <w:rPr>
          <w:rFonts w:ascii="Segoe UI" w:hAnsi="Segoe UI" w:cs="Segoe UI"/>
          <w:sz w:val="24"/>
          <w:szCs w:val="24"/>
        </w:rPr>
        <w:t>ousehold’s own production</w:t>
      </w:r>
      <w:r w:rsidR="00486167">
        <w:rPr>
          <w:rFonts w:ascii="Segoe UI" w:hAnsi="Segoe UI" w:cs="Segoe UI"/>
          <w:sz w:val="24"/>
          <w:szCs w:val="24"/>
        </w:rPr>
        <w:t xml:space="preserve"> plays a key role in improving foo self-sufficiency</w:t>
      </w:r>
      <w:r w:rsidR="00B618C5" w:rsidRPr="00B618C5">
        <w:rPr>
          <w:rFonts w:ascii="Segoe UI" w:hAnsi="Segoe UI" w:cs="Segoe UI"/>
          <w:sz w:val="24"/>
          <w:szCs w:val="24"/>
        </w:rPr>
        <w:t xml:space="preserve"> </w:t>
      </w:r>
      <w:r w:rsidR="00486167">
        <w:rPr>
          <w:rFonts w:ascii="Segoe UI" w:hAnsi="Segoe UI" w:cs="Segoe UI"/>
          <w:sz w:val="24"/>
          <w:szCs w:val="24"/>
        </w:rPr>
        <w:t>(</w:t>
      </w:r>
      <w:r w:rsidR="00B618C5" w:rsidRPr="00B618C5">
        <w:rPr>
          <w:rFonts w:ascii="Segoe UI" w:hAnsi="Segoe UI" w:cs="Segoe UI"/>
          <w:sz w:val="24"/>
          <w:szCs w:val="24"/>
        </w:rPr>
        <w:t>Pinto-Correia et al.,</w:t>
      </w:r>
      <w:r w:rsidR="00486167">
        <w:rPr>
          <w:rFonts w:ascii="Segoe UI" w:hAnsi="Segoe UI" w:cs="Segoe UI"/>
          <w:sz w:val="24"/>
          <w:szCs w:val="24"/>
        </w:rPr>
        <w:t xml:space="preserve"> </w:t>
      </w:r>
      <w:r w:rsidR="00B618C5" w:rsidRPr="00B618C5">
        <w:rPr>
          <w:rFonts w:ascii="Segoe UI" w:hAnsi="Segoe UI" w:cs="Segoe UI"/>
          <w:sz w:val="24"/>
          <w:szCs w:val="24"/>
        </w:rPr>
        <w:t>2019).</w:t>
      </w:r>
      <w:r w:rsidR="008D06CF">
        <w:rPr>
          <w:rFonts w:ascii="Segoe UI" w:hAnsi="Segoe UI" w:cs="Segoe UI"/>
          <w:sz w:val="24"/>
          <w:szCs w:val="24"/>
        </w:rPr>
        <w:t xml:space="preserve"> </w:t>
      </w:r>
      <w:r>
        <w:rPr>
          <w:rFonts w:ascii="Segoe UI" w:hAnsi="Segoe UI" w:cs="Segoe UI"/>
          <w:sz w:val="24"/>
          <w:szCs w:val="24"/>
        </w:rPr>
        <w:t xml:space="preserve">This indicates that male-headed households demonstrate greater self-sufficiency, which enhances their food security. However, a substantial portion of both household types relies on periodic markets, </w:t>
      </w:r>
      <w:r w:rsidR="00B618C5">
        <w:rPr>
          <w:rFonts w:ascii="Segoe UI" w:hAnsi="Segoe UI" w:cs="Segoe UI"/>
          <w:sz w:val="24"/>
          <w:szCs w:val="24"/>
        </w:rPr>
        <w:t>stressi</w:t>
      </w:r>
      <w:r>
        <w:rPr>
          <w:rFonts w:ascii="Segoe UI" w:hAnsi="Segoe UI" w:cs="Segoe UI"/>
          <w:sz w:val="24"/>
          <w:szCs w:val="24"/>
        </w:rPr>
        <w:t>ng their importance as vital access points for nutritious food. The reliance on external sources, including local and retail markets, highlights the crucial role these markets play in shaping dietary choices and food security, particularly in areas where self-production is limited. Overall, the significance of local markets is evident, serving as a major source of food for both household types.</w:t>
      </w:r>
    </w:p>
    <w:p w14:paraId="61E8418D" w14:textId="77777777" w:rsidR="00486167" w:rsidRDefault="00486167">
      <w:pPr>
        <w:spacing w:after="120" w:line="240" w:lineRule="auto"/>
        <w:jc w:val="both"/>
        <w:rPr>
          <w:rFonts w:ascii="Segoe UI" w:hAnsi="Segoe UI" w:cs="Segoe UI"/>
          <w:sz w:val="24"/>
          <w:szCs w:val="24"/>
        </w:rPr>
      </w:pPr>
    </w:p>
    <w:p w14:paraId="772C3D1F" w14:textId="1C50C6D3"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9: Accessibility of Nutritious Food</w:t>
      </w:r>
    </w:p>
    <w:tbl>
      <w:tblPr>
        <w:tblW w:w="6559" w:type="dxa"/>
        <w:tblInd w:w="96" w:type="dxa"/>
        <w:tblLook w:val="04A0" w:firstRow="1" w:lastRow="0" w:firstColumn="1" w:lastColumn="0" w:noHBand="0" w:noVBand="1"/>
      </w:tblPr>
      <w:tblGrid>
        <w:gridCol w:w="2265"/>
        <w:gridCol w:w="1722"/>
        <w:gridCol w:w="1508"/>
        <w:gridCol w:w="1064"/>
      </w:tblGrid>
      <w:tr w:rsidR="002C73D0" w14:paraId="4C7440DB" w14:textId="77777777" w:rsidTr="00486167">
        <w:trPr>
          <w:trHeight w:val="288"/>
        </w:trPr>
        <w:tc>
          <w:tcPr>
            <w:tcW w:w="6559"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1CC37" w14:textId="77777777" w:rsidR="002C73D0" w:rsidRDefault="00000000">
            <w:pPr>
              <w:spacing w:after="120" w:line="240" w:lineRule="auto"/>
              <w:jc w:val="center"/>
              <w:textAlignment w:val="center"/>
              <w:rPr>
                <w:rFonts w:ascii="Segoe UI" w:hAnsi="Segoe UI" w:cs="Segoe UI"/>
                <w:color w:val="000000"/>
              </w:rPr>
            </w:pPr>
            <w:r>
              <w:rPr>
                <w:rFonts w:ascii="Segoe UI" w:eastAsia="SimSun" w:hAnsi="Segoe UI" w:cs="Segoe UI"/>
                <w:color w:val="000000"/>
                <w:lang w:val="en-US" w:eastAsia="zh-CN" w:bidi="ar"/>
              </w:rPr>
              <w:t>Accessibility of nutritious food</w:t>
            </w:r>
          </w:p>
        </w:tc>
      </w:tr>
      <w:tr w:rsidR="002C73D0" w14:paraId="41DC7782" w14:textId="77777777" w:rsidTr="0048616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8FA89" w14:textId="77777777" w:rsidR="002C73D0" w:rsidRDefault="002C73D0">
            <w:pPr>
              <w:spacing w:after="120" w:line="240" w:lineRule="auto"/>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01F9A"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93BDF"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ACD8D"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30EF2D84" w14:textId="77777777" w:rsidTr="0048616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19589"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Very accessible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2846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E693D"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15</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832BC"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14</w:t>
            </w:r>
          </w:p>
        </w:tc>
      </w:tr>
      <w:tr w:rsidR="002C73D0" w14:paraId="06F413AF" w14:textId="77777777" w:rsidTr="0048616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1E4E9"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Somewhat accessible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7B52E"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E8D3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60.91</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B3E5B"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58.67</w:t>
            </w:r>
          </w:p>
        </w:tc>
      </w:tr>
      <w:tr w:rsidR="002C73D0" w14:paraId="373216FA" w14:textId="77777777" w:rsidTr="0048616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3E642"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lastRenderedPageBreak/>
              <w:t>Not very accessible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548F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33.75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D2784"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22.73</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1A92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25.67</w:t>
            </w:r>
          </w:p>
        </w:tc>
      </w:tr>
      <w:tr w:rsidR="002C73D0" w14:paraId="44F6AE8C" w14:textId="77777777" w:rsidTr="0048616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8534F"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 xml:space="preserve">Not </w:t>
            </w:r>
            <w:r>
              <w:rPr>
                <w:rFonts w:ascii="Segoe UI" w:eastAsia="SimSun" w:hAnsi="Segoe UI" w:cs="Segoe UI"/>
                <w:color w:val="000000"/>
                <w:lang w:eastAsia="zh-CN" w:bidi="ar"/>
              </w:rPr>
              <w:t>accessible</w:t>
            </w:r>
            <w:r>
              <w:rPr>
                <w:rFonts w:ascii="Segoe UI" w:eastAsia="SimSun" w:hAnsi="Segoe UI" w:cs="Segoe UI"/>
                <w:color w:val="000000"/>
                <w:lang w:val="en-US" w:eastAsia="zh-CN" w:bidi="ar"/>
              </w:rPr>
              <w:t xml:space="preserve"> at all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0B30D"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1B9C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1.36</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1397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1.67</w:t>
            </w:r>
          </w:p>
        </w:tc>
      </w:tr>
    </w:tbl>
    <w:p w14:paraId="070481B9" w14:textId="77777777" w:rsidR="00486167" w:rsidRDefault="00486167">
      <w:pPr>
        <w:spacing w:after="120" w:line="240" w:lineRule="auto"/>
        <w:jc w:val="both"/>
        <w:rPr>
          <w:rFonts w:ascii="Segoe UI" w:hAnsi="Segoe UI" w:cs="Segoe UI"/>
          <w:sz w:val="24"/>
          <w:szCs w:val="24"/>
        </w:rPr>
      </w:pPr>
    </w:p>
    <w:p w14:paraId="469317A9" w14:textId="0C572A75"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9 illustrates the accessibility of nutritious food among different household types. Approximately 75% of male-headed households report that nutritious food is very or somewhat accessible, compared to only 63% of female-headed households. This disparity indicates that male-headed households generally experience better access to nutritious food options. Additionally, 33.75% of female-headed households indicate that nutritious food is not very accessible, further highlighting the challenges they face. Overall, these findings reveal significant differences in access to nutritious food, with implications for dietary choices and nutritional adequacy.</w:t>
      </w:r>
    </w:p>
    <w:p w14:paraId="0FC5FFB6" w14:textId="77777777" w:rsidR="00486167" w:rsidRDefault="00486167">
      <w:pPr>
        <w:spacing w:after="120" w:line="240" w:lineRule="auto"/>
        <w:jc w:val="both"/>
        <w:rPr>
          <w:rFonts w:ascii="Segoe UI" w:hAnsi="Segoe UI" w:cs="Segoe UI"/>
          <w:sz w:val="24"/>
          <w:szCs w:val="24"/>
        </w:rPr>
      </w:pPr>
    </w:p>
    <w:p w14:paraId="13FF9054"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10: Factors Influencing Accessibility of Nutritious Food</w:t>
      </w:r>
    </w:p>
    <w:tbl>
      <w:tblPr>
        <w:tblW w:w="5532" w:type="dxa"/>
        <w:tblInd w:w="96" w:type="dxa"/>
        <w:tblLook w:val="04A0" w:firstRow="1" w:lastRow="0" w:firstColumn="1" w:lastColumn="0" w:noHBand="0" w:noVBand="1"/>
      </w:tblPr>
      <w:tblGrid>
        <w:gridCol w:w="2823"/>
        <w:gridCol w:w="1722"/>
        <w:gridCol w:w="1508"/>
        <w:gridCol w:w="739"/>
      </w:tblGrid>
      <w:tr w:rsidR="002C73D0" w14:paraId="07837C2E" w14:textId="77777777">
        <w:trPr>
          <w:trHeight w:val="288"/>
        </w:trPr>
        <w:tc>
          <w:tcPr>
            <w:tcW w:w="5538"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0A980" w14:textId="77777777" w:rsidR="002C73D0" w:rsidRDefault="00000000">
            <w:pPr>
              <w:spacing w:after="120" w:line="240" w:lineRule="auto"/>
              <w:jc w:val="center"/>
              <w:textAlignment w:val="center"/>
              <w:rPr>
                <w:rFonts w:ascii="Segoe UI" w:hAnsi="Segoe UI" w:cs="Segoe UI"/>
                <w:color w:val="000000"/>
              </w:rPr>
            </w:pPr>
            <w:r>
              <w:rPr>
                <w:rFonts w:ascii="Segoe UI" w:eastAsia="SimSun" w:hAnsi="Segoe UI" w:cs="Segoe UI"/>
                <w:color w:val="000000"/>
                <w:lang w:val="en-US" w:eastAsia="zh-CN" w:bidi="ar"/>
              </w:rPr>
              <w:t xml:space="preserve">Factors influencing accessibility of </w:t>
            </w:r>
            <w:r>
              <w:rPr>
                <w:rFonts w:ascii="Segoe UI" w:eastAsia="SimSun" w:hAnsi="Segoe UI" w:cs="Segoe UI"/>
                <w:color w:val="000000"/>
                <w:lang w:eastAsia="zh-CN" w:bidi="ar"/>
              </w:rPr>
              <w:t>nutritious</w:t>
            </w:r>
            <w:r>
              <w:rPr>
                <w:rFonts w:ascii="Segoe UI" w:eastAsia="SimSun" w:hAnsi="Segoe UI" w:cs="Segoe UI"/>
                <w:color w:val="000000"/>
                <w:lang w:val="en-US" w:eastAsia="zh-CN" w:bidi="ar"/>
              </w:rPr>
              <w:t xml:space="preserve"> food</w:t>
            </w:r>
          </w:p>
        </w:tc>
      </w:tr>
      <w:tr w:rsidR="002C73D0" w14:paraId="3D8DD206"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F9AAB" w14:textId="77777777" w:rsidR="002C73D0" w:rsidRDefault="002C73D0">
            <w:pPr>
              <w:spacing w:after="120" w:line="240" w:lineRule="auto"/>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8788"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55E72"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526C9"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20B38FBD"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F0454"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Income level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5BD52"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CAC1B"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92.73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3864A"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93.33</w:t>
            </w:r>
          </w:p>
        </w:tc>
      </w:tr>
      <w:tr w:rsidR="002C73D0" w14:paraId="570F8873"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E0ABF"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Proximity to market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F0700"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C34A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10.45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D10E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9.33</w:t>
            </w:r>
          </w:p>
        </w:tc>
      </w:tr>
      <w:tr w:rsidR="002C73D0" w14:paraId="6E724A8A"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285B6"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Knowledge about nutrition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05A1B"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D8020"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27.27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8F596"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24.67</w:t>
            </w:r>
          </w:p>
        </w:tc>
      </w:tr>
    </w:tbl>
    <w:p w14:paraId="37828E76" w14:textId="77777777" w:rsidR="00486167" w:rsidRDefault="00486167">
      <w:pPr>
        <w:spacing w:after="120" w:line="240" w:lineRule="auto"/>
        <w:jc w:val="both"/>
        <w:rPr>
          <w:rFonts w:ascii="Segoe UI" w:hAnsi="Segoe UI" w:cs="Segoe UI"/>
          <w:sz w:val="24"/>
          <w:szCs w:val="24"/>
        </w:rPr>
      </w:pPr>
    </w:p>
    <w:p w14:paraId="31A28DA4" w14:textId="39FD5C8A" w:rsidR="002C73D0" w:rsidRDefault="00000000">
      <w:pPr>
        <w:spacing w:after="120" w:line="240" w:lineRule="auto"/>
        <w:jc w:val="both"/>
        <w:rPr>
          <w:rFonts w:ascii="Segoe UI" w:hAnsi="Segoe UI" w:cs="Segoe UI"/>
          <w:sz w:val="24"/>
          <w:szCs w:val="24"/>
        </w:rPr>
      </w:pPr>
      <w:r>
        <w:rPr>
          <w:rFonts w:ascii="Segoe UI" w:hAnsi="Segoe UI" w:cs="Segoe UI"/>
          <w:sz w:val="24"/>
          <w:szCs w:val="24"/>
        </w:rPr>
        <w:t>Income level emerges as a crucial factor affecting access to nutritious food</w:t>
      </w:r>
      <w:r w:rsidR="000352BC">
        <w:rPr>
          <w:rFonts w:ascii="Segoe UI" w:hAnsi="Segoe UI" w:cs="Segoe UI"/>
          <w:sz w:val="24"/>
          <w:szCs w:val="24"/>
        </w:rPr>
        <w:t xml:space="preserve"> (</w:t>
      </w:r>
      <w:r w:rsidR="000352BC" w:rsidRPr="000352BC">
        <w:rPr>
          <w:rFonts w:ascii="Segoe UI" w:hAnsi="Segoe UI" w:cs="Segoe UI"/>
          <w:sz w:val="24"/>
          <w:szCs w:val="24"/>
        </w:rPr>
        <w:t>Headey et al., 2024</w:t>
      </w:r>
      <w:r w:rsidR="000352BC">
        <w:rPr>
          <w:rFonts w:ascii="Segoe UI" w:hAnsi="Segoe UI" w:cs="Segoe UI"/>
          <w:sz w:val="24"/>
          <w:szCs w:val="24"/>
        </w:rPr>
        <w:t>)</w:t>
      </w:r>
      <w:r>
        <w:rPr>
          <w:rFonts w:ascii="Segoe UI" w:hAnsi="Segoe UI" w:cs="Segoe UI"/>
          <w:sz w:val="24"/>
          <w:szCs w:val="24"/>
        </w:rPr>
        <w:t xml:space="preserve">. Table 10 reveals that 95% of female-headed households and 92.73% of male-headed households cite income as a significant barrier. While proximity to markets and nutritional knowledge also play roles, their influence is comparatively minor, </w:t>
      </w:r>
      <w:r w:rsidR="001A54A5">
        <w:rPr>
          <w:rFonts w:ascii="Segoe UI" w:hAnsi="Segoe UI" w:cs="Segoe UI"/>
          <w:sz w:val="24"/>
          <w:szCs w:val="24"/>
        </w:rPr>
        <w:t>accentuating</w:t>
      </w:r>
      <w:r>
        <w:rPr>
          <w:rFonts w:ascii="Segoe UI" w:hAnsi="Segoe UI" w:cs="Segoe UI"/>
          <w:sz w:val="24"/>
          <w:szCs w:val="24"/>
        </w:rPr>
        <w:t xml:space="preserve"> the dominant impact of economic factors on food access across both household types.</w:t>
      </w:r>
    </w:p>
    <w:p w14:paraId="676ADB90" w14:textId="77777777" w:rsidR="00486167" w:rsidRDefault="00486167">
      <w:pPr>
        <w:spacing w:after="120" w:line="240" w:lineRule="auto"/>
        <w:jc w:val="both"/>
        <w:rPr>
          <w:rFonts w:ascii="Segoe UI" w:hAnsi="Segoe UI" w:cs="Segoe UI"/>
          <w:sz w:val="24"/>
          <w:szCs w:val="24"/>
        </w:rPr>
      </w:pPr>
    </w:p>
    <w:p w14:paraId="442089A5"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11: Awareness of Nutritious Food When Purchasing</w:t>
      </w:r>
    </w:p>
    <w:tbl>
      <w:tblPr>
        <w:tblW w:w="7069" w:type="dxa"/>
        <w:tblInd w:w="96" w:type="dxa"/>
        <w:tblLook w:val="04A0" w:firstRow="1" w:lastRow="0" w:firstColumn="1" w:lastColumn="0" w:noHBand="0" w:noVBand="1"/>
      </w:tblPr>
      <w:tblGrid>
        <w:gridCol w:w="2239"/>
        <w:gridCol w:w="1724"/>
        <w:gridCol w:w="1509"/>
        <w:gridCol w:w="1597"/>
      </w:tblGrid>
      <w:tr w:rsidR="002C73D0" w14:paraId="458A5FDF" w14:textId="77777777" w:rsidTr="00647834">
        <w:trPr>
          <w:trHeight w:val="288"/>
        </w:trPr>
        <w:tc>
          <w:tcPr>
            <w:tcW w:w="7069"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D5A35" w14:textId="77777777" w:rsidR="002C73D0" w:rsidRDefault="00000000">
            <w:pPr>
              <w:spacing w:after="120" w:line="240" w:lineRule="auto"/>
              <w:jc w:val="center"/>
              <w:textAlignment w:val="center"/>
              <w:rPr>
                <w:rFonts w:ascii="Segoe UI" w:hAnsi="Segoe UI" w:cs="Segoe UI"/>
                <w:color w:val="000000"/>
              </w:rPr>
            </w:pPr>
            <w:r>
              <w:rPr>
                <w:rFonts w:ascii="Segoe UI" w:eastAsia="SimSun" w:hAnsi="Segoe UI" w:cs="Segoe UI"/>
                <w:color w:val="000000"/>
                <w:lang w:val="en-US" w:eastAsia="zh-CN" w:bidi="ar"/>
              </w:rPr>
              <w:t>How do you rate your awareness of nutritious food when purchasing</w:t>
            </w:r>
          </w:p>
        </w:tc>
      </w:tr>
      <w:tr w:rsidR="002C73D0" w14:paraId="44FB3674" w14:textId="77777777" w:rsidTr="00647834">
        <w:trPr>
          <w:trHeight w:val="288"/>
        </w:trPr>
        <w:tc>
          <w:tcPr>
            <w:tcW w:w="2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CC5D3" w14:textId="77777777" w:rsidR="002C73D0" w:rsidRDefault="002C73D0">
            <w:pPr>
              <w:spacing w:after="120" w:line="240" w:lineRule="auto"/>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E2B5B"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23DFE"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5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0FD88"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6D2CCC1C" w14:textId="77777777" w:rsidTr="00647834">
        <w:trPr>
          <w:trHeight w:val="288"/>
        </w:trPr>
        <w:tc>
          <w:tcPr>
            <w:tcW w:w="2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4D748"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Very much aware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3C883"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01E0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5.45</w:t>
            </w:r>
          </w:p>
        </w:tc>
        <w:tc>
          <w:tcPr>
            <w:tcW w:w="15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D0DF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w:t>
            </w:r>
          </w:p>
        </w:tc>
      </w:tr>
      <w:tr w:rsidR="002C73D0" w14:paraId="2D0F24B5" w14:textId="77777777" w:rsidTr="00647834">
        <w:trPr>
          <w:trHeight w:val="288"/>
        </w:trPr>
        <w:tc>
          <w:tcPr>
            <w:tcW w:w="2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F4E26"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Sufficiently aware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5EAEE"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2B894"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18.18</w:t>
            </w:r>
          </w:p>
        </w:tc>
        <w:tc>
          <w:tcPr>
            <w:tcW w:w="15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FD304"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16.67</w:t>
            </w:r>
          </w:p>
        </w:tc>
      </w:tr>
      <w:tr w:rsidR="002C73D0" w14:paraId="7268632B" w14:textId="77777777" w:rsidTr="00647834">
        <w:trPr>
          <w:trHeight w:val="288"/>
        </w:trPr>
        <w:tc>
          <w:tcPr>
            <w:tcW w:w="2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00F18"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A little aware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FCF4E"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67.5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0B708"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57.73</w:t>
            </w:r>
          </w:p>
        </w:tc>
        <w:tc>
          <w:tcPr>
            <w:tcW w:w="15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A83A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60.33</w:t>
            </w:r>
          </w:p>
        </w:tc>
      </w:tr>
      <w:tr w:rsidR="002C73D0" w14:paraId="7E83D1CE" w14:textId="77777777" w:rsidTr="00647834">
        <w:trPr>
          <w:trHeight w:val="288"/>
        </w:trPr>
        <w:tc>
          <w:tcPr>
            <w:tcW w:w="2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164DB"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Not aware at all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6DF55"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27515"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16.36</w:t>
            </w:r>
          </w:p>
        </w:tc>
        <w:tc>
          <w:tcPr>
            <w:tcW w:w="15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258C2"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16.33</w:t>
            </w:r>
          </w:p>
        </w:tc>
      </w:tr>
      <w:tr w:rsidR="002C73D0" w14:paraId="41D1924E" w14:textId="77777777" w:rsidTr="00647834">
        <w:trPr>
          <w:trHeight w:val="288"/>
        </w:trPr>
        <w:tc>
          <w:tcPr>
            <w:tcW w:w="2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4C90B"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Not sure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1728E"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476F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2.27</w:t>
            </w:r>
          </w:p>
        </w:tc>
        <w:tc>
          <w:tcPr>
            <w:tcW w:w="15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4E993"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1.67</w:t>
            </w:r>
          </w:p>
        </w:tc>
      </w:tr>
    </w:tbl>
    <w:p w14:paraId="29E8161A" w14:textId="77777777" w:rsidR="000352BC" w:rsidRDefault="000352BC">
      <w:pPr>
        <w:spacing w:after="120" w:line="240" w:lineRule="auto"/>
        <w:jc w:val="both"/>
        <w:rPr>
          <w:rFonts w:ascii="Segoe UI" w:hAnsi="Segoe UI" w:cs="Segoe UI"/>
          <w:sz w:val="24"/>
          <w:szCs w:val="24"/>
        </w:rPr>
      </w:pPr>
    </w:p>
    <w:p w14:paraId="1FE69560" w14:textId="11CCAA0C" w:rsidR="002C73D0" w:rsidRDefault="00331546">
      <w:pPr>
        <w:spacing w:after="120" w:line="240" w:lineRule="auto"/>
        <w:jc w:val="both"/>
        <w:rPr>
          <w:rFonts w:ascii="Segoe UI" w:hAnsi="Segoe UI" w:cs="Segoe UI"/>
          <w:sz w:val="24"/>
          <w:szCs w:val="24"/>
        </w:rPr>
      </w:pPr>
      <w:r>
        <w:rPr>
          <w:rFonts w:ascii="Segoe UI" w:hAnsi="Segoe UI" w:cs="Segoe UI"/>
          <w:sz w:val="24"/>
          <w:szCs w:val="24"/>
        </w:rPr>
        <w:lastRenderedPageBreak/>
        <w:t>Trust and awareness are important when marking decision to purchase healthy food (</w:t>
      </w:r>
      <w:r w:rsidRPr="00331546">
        <w:rPr>
          <w:rFonts w:ascii="Segoe UI" w:hAnsi="Segoe UI" w:cs="Segoe UI"/>
          <w:sz w:val="24"/>
          <w:szCs w:val="24"/>
        </w:rPr>
        <w:t>Firoozzare et al., 2024)</w:t>
      </w:r>
      <w:r>
        <w:rPr>
          <w:rFonts w:ascii="Segoe UI" w:hAnsi="Segoe UI" w:cs="Segoe UI"/>
          <w:sz w:val="24"/>
          <w:szCs w:val="24"/>
        </w:rPr>
        <w:t xml:space="preserve">. Table 11 evaluates household members' awareness of nutritious food when making purchases. Only 23% of male-headed households report being very or sufficiently aware, while awareness is even lower in female-headed households at approximately 16%. The majority of respondents, particularly in female-headed households, indicate they are only a little aware (67.5%), with a small fraction claiming no awareness at all (16.25%). This low level of awareness </w:t>
      </w:r>
      <w:r w:rsidR="000352BC">
        <w:rPr>
          <w:rFonts w:ascii="Segoe UI" w:hAnsi="Segoe UI" w:cs="Segoe UI"/>
          <w:sz w:val="24"/>
          <w:szCs w:val="24"/>
        </w:rPr>
        <w:t>emphasize</w:t>
      </w:r>
      <w:r>
        <w:rPr>
          <w:rFonts w:ascii="Segoe UI" w:hAnsi="Segoe UI" w:cs="Segoe UI"/>
          <w:sz w:val="24"/>
          <w:szCs w:val="24"/>
        </w:rPr>
        <w:t>s the need for enhanced nutrition education, as it plays a crucial role in making informed dietary choices and improving overall health outcomes.</w:t>
      </w:r>
    </w:p>
    <w:p w14:paraId="218F8A62" w14:textId="77777777" w:rsidR="000352BC" w:rsidRDefault="000352BC">
      <w:pPr>
        <w:spacing w:after="120" w:line="240" w:lineRule="auto"/>
        <w:jc w:val="both"/>
        <w:rPr>
          <w:rFonts w:ascii="Segoe UI" w:hAnsi="Segoe UI" w:cs="Segoe UI"/>
          <w:sz w:val="24"/>
          <w:szCs w:val="24"/>
        </w:rPr>
      </w:pPr>
    </w:p>
    <w:p w14:paraId="6BFD51F3"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12: Factors Influencing Decision to Purchase Nutritious Food</w:t>
      </w:r>
    </w:p>
    <w:tbl>
      <w:tblPr>
        <w:tblW w:w="7099" w:type="dxa"/>
        <w:tblInd w:w="96" w:type="dxa"/>
        <w:tblLook w:val="04A0" w:firstRow="1" w:lastRow="0" w:firstColumn="1" w:lastColumn="0" w:noHBand="0" w:noVBand="1"/>
      </w:tblPr>
      <w:tblGrid>
        <w:gridCol w:w="2251"/>
        <w:gridCol w:w="1722"/>
        <w:gridCol w:w="1508"/>
        <w:gridCol w:w="1618"/>
      </w:tblGrid>
      <w:tr w:rsidR="002C73D0" w14:paraId="0B4D4BCD" w14:textId="77777777" w:rsidTr="00331546">
        <w:trPr>
          <w:trHeight w:val="288"/>
        </w:trPr>
        <w:tc>
          <w:tcPr>
            <w:tcW w:w="7099"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DBB74" w14:textId="77777777" w:rsidR="002C73D0" w:rsidRDefault="00000000">
            <w:pPr>
              <w:spacing w:after="120" w:line="240" w:lineRule="auto"/>
              <w:jc w:val="center"/>
              <w:textAlignment w:val="center"/>
              <w:rPr>
                <w:rFonts w:ascii="Segoe UI" w:hAnsi="Segoe UI" w:cs="Segoe UI"/>
                <w:color w:val="000000"/>
              </w:rPr>
            </w:pPr>
            <w:r>
              <w:rPr>
                <w:rFonts w:ascii="Segoe UI" w:eastAsia="SimSun" w:hAnsi="Segoe UI" w:cs="Segoe UI"/>
                <w:color w:val="000000"/>
                <w:lang w:val="en-US" w:eastAsia="zh-CN" w:bidi="ar"/>
              </w:rPr>
              <w:t xml:space="preserve">Factors influencing decision to purchase </w:t>
            </w:r>
            <w:r>
              <w:rPr>
                <w:rFonts w:ascii="Segoe UI" w:eastAsia="SimSun" w:hAnsi="Segoe UI" w:cs="Segoe UI"/>
                <w:color w:val="000000"/>
                <w:lang w:eastAsia="zh-CN" w:bidi="ar"/>
              </w:rPr>
              <w:t>nutritious</w:t>
            </w:r>
            <w:r>
              <w:rPr>
                <w:rFonts w:ascii="Segoe UI" w:eastAsia="SimSun" w:hAnsi="Segoe UI" w:cs="Segoe UI"/>
                <w:color w:val="000000"/>
                <w:lang w:val="en-US" w:eastAsia="zh-CN" w:bidi="ar"/>
              </w:rPr>
              <w:t xml:space="preserve"> food</w:t>
            </w:r>
          </w:p>
        </w:tc>
      </w:tr>
      <w:tr w:rsidR="002C73D0" w14:paraId="568E63C4" w14:textId="77777777" w:rsidTr="0033154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1B849" w14:textId="77777777" w:rsidR="002C73D0" w:rsidRDefault="002C73D0">
            <w:pPr>
              <w:spacing w:after="120" w:line="240" w:lineRule="auto"/>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7A6EE"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BCD35"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C2E71"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66D44206" w14:textId="77777777" w:rsidTr="0033154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63151"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Price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EC578"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A6CA6"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86.82</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71742"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89</w:t>
            </w:r>
          </w:p>
        </w:tc>
      </w:tr>
      <w:tr w:rsidR="002C73D0" w14:paraId="53530067" w14:textId="77777777" w:rsidTr="0033154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5D48A"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Taste and preference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7B5B5"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2B918"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19.55</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3AD7A"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17</w:t>
            </w:r>
          </w:p>
        </w:tc>
      </w:tr>
      <w:tr w:rsidR="002C73D0" w14:paraId="5C74E169" w14:textId="77777777" w:rsidTr="0033154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35C84"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Health benefits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0F96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D199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10.45</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BBE00"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8.67</w:t>
            </w:r>
          </w:p>
        </w:tc>
      </w:tr>
      <w:tr w:rsidR="002C73D0" w14:paraId="75796FF3" w14:textId="77777777" w:rsidTr="0033154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86A11"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Convenience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9B762"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D270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15</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0390D"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13.33</w:t>
            </w:r>
          </w:p>
        </w:tc>
      </w:tr>
    </w:tbl>
    <w:p w14:paraId="28D1DF18" w14:textId="77777777" w:rsidR="00331546" w:rsidRDefault="00331546">
      <w:pPr>
        <w:spacing w:after="120" w:line="240" w:lineRule="auto"/>
        <w:jc w:val="both"/>
        <w:rPr>
          <w:rFonts w:ascii="Segoe UI" w:hAnsi="Segoe UI" w:cs="Segoe UI"/>
          <w:sz w:val="24"/>
          <w:szCs w:val="24"/>
        </w:rPr>
      </w:pPr>
    </w:p>
    <w:p w14:paraId="4EC8C160" w14:textId="46534013" w:rsidR="002C73D0" w:rsidRDefault="00000000">
      <w:pPr>
        <w:spacing w:after="120" w:line="240" w:lineRule="auto"/>
        <w:jc w:val="both"/>
        <w:rPr>
          <w:rFonts w:ascii="Segoe UI" w:hAnsi="Segoe UI" w:cs="Segoe UI"/>
          <w:sz w:val="24"/>
          <w:szCs w:val="24"/>
        </w:rPr>
      </w:pPr>
      <w:r>
        <w:rPr>
          <w:rFonts w:ascii="Segoe UI" w:hAnsi="Segoe UI" w:cs="Segoe UI"/>
          <w:sz w:val="24"/>
          <w:szCs w:val="24"/>
        </w:rPr>
        <w:t>Price is the primary consideration when purchasing nutritious food</w:t>
      </w:r>
      <w:r w:rsidR="002D722D">
        <w:rPr>
          <w:rFonts w:ascii="Segoe UI" w:hAnsi="Segoe UI" w:cs="Segoe UI"/>
          <w:sz w:val="24"/>
          <w:szCs w:val="24"/>
        </w:rPr>
        <w:t xml:space="preserve"> (Alam et al., 2024, Ameye et al., 2021)</w:t>
      </w:r>
      <w:r>
        <w:rPr>
          <w:rFonts w:ascii="Segoe UI" w:hAnsi="Segoe UI" w:cs="Segoe UI"/>
          <w:sz w:val="24"/>
          <w:szCs w:val="24"/>
        </w:rPr>
        <w:t xml:space="preserve">, particularly for female-headed households, as indicated in Table 12 (95%). While taste and health benefits also factor into decisions, their impact is markedly lower. This highlights the critical role of affordability in shaping dietary choices and points to economic constraints that influence food purchasing </w:t>
      </w:r>
      <w:r w:rsidR="001E4D58">
        <w:rPr>
          <w:rFonts w:ascii="Segoe UI" w:hAnsi="Segoe UI" w:cs="Segoe UI"/>
          <w:sz w:val="24"/>
          <w:szCs w:val="24"/>
        </w:rPr>
        <w:t>behaviours</w:t>
      </w:r>
      <w:r>
        <w:rPr>
          <w:rFonts w:ascii="Segoe UI" w:hAnsi="Segoe UI" w:cs="Segoe UI"/>
          <w:sz w:val="24"/>
          <w:szCs w:val="24"/>
        </w:rPr>
        <w:t>.</w:t>
      </w:r>
    </w:p>
    <w:p w14:paraId="06AF62B6" w14:textId="77777777" w:rsidR="002C73D0" w:rsidRDefault="002C73D0">
      <w:pPr>
        <w:spacing w:after="120" w:line="240" w:lineRule="auto"/>
        <w:jc w:val="both"/>
        <w:rPr>
          <w:rFonts w:ascii="Segoe UI" w:hAnsi="Segoe UI" w:cs="Segoe UI"/>
          <w:sz w:val="24"/>
          <w:szCs w:val="24"/>
        </w:rPr>
      </w:pPr>
    </w:p>
    <w:p w14:paraId="116A83A3"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Table13: Meal Frequency Distribution by Gender of the Head of Households</w:t>
      </w:r>
    </w:p>
    <w:tbl>
      <w:tblPr>
        <w:tblW w:w="6019" w:type="dxa"/>
        <w:tblInd w:w="96" w:type="dxa"/>
        <w:tblLook w:val="04A0" w:firstRow="1" w:lastRow="0" w:firstColumn="1" w:lastColumn="0" w:noHBand="0" w:noVBand="1"/>
      </w:tblPr>
      <w:tblGrid>
        <w:gridCol w:w="1458"/>
        <w:gridCol w:w="1758"/>
        <w:gridCol w:w="1539"/>
        <w:gridCol w:w="1265"/>
      </w:tblGrid>
      <w:tr w:rsidR="002C73D0" w14:paraId="074B8C83" w14:textId="77777777" w:rsidTr="00E30756">
        <w:trPr>
          <w:trHeight w:val="289"/>
        </w:trPr>
        <w:tc>
          <w:tcPr>
            <w:tcW w:w="6019"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8BB70" w14:textId="77777777" w:rsidR="002C73D0" w:rsidRDefault="00000000">
            <w:pPr>
              <w:spacing w:after="120" w:line="240" w:lineRule="auto"/>
              <w:jc w:val="center"/>
              <w:textAlignment w:val="center"/>
              <w:rPr>
                <w:rFonts w:ascii="Segoe UI" w:hAnsi="Segoe UI" w:cs="Segoe UI"/>
                <w:color w:val="000000"/>
              </w:rPr>
            </w:pPr>
            <w:r>
              <w:rPr>
                <w:rFonts w:ascii="Segoe UI" w:eastAsia="SimSun" w:hAnsi="Segoe UI" w:cs="Segoe UI"/>
                <w:color w:val="000000"/>
                <w:lang w:val="en-US" w:eastAsia="zh-CN" w:bidi="ar"/>
              </w:rPr>
              <w:t xml:space="preserve">Number of meals a household has per day </w:t>
            </w:r>
          </w:p>
        </w:tc>
      </w:tr>
      <w:tr w:rsidR="002C73D0" w14:paraId="37BC2430" w14:textId="77777777" w:rsidTr="00E3075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A2260" w14:textId="77777777" w:rsidR="002C73D0" w:rsidRDefault="002C73D0">
            <w:pPr>
              <w:spacing w:after="120" w:line="240" w:lineRule="auto"/>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5C432"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48DCD"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0D0EE"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6368B487" w14:textId="77777777" w:rsidTr="00E3075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5043A" w14:textId="3B4E3BDA" w:rsidR="002C73D0" w:rsidRDefault="00331546">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One meal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00726"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F3417"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1.82</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E36CA"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1.67</w:t>
            </w:r>
          </w:p>
        </w:tc>
      </w:tr>
      <w:tr w:rsidR="002C73D0" w14:paraId="17B0ADA1" w14:textId="77777777" w:rsidTr="00E3075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29461" w14:textId="1464C287" w:rsidR="002C73D0" w:rsidRDefault="00331546">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Two meals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3385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41E3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29.09</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7226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35.33</w:t>
            </w:r>
          </w:p>
        </w:tc>
      </w:tr>
      <w:tr w:rsidR="002C73D0" w14:paraId="63C9ADA7" w14:textId="77777777" w:rsidTr="00E3075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1C0E4" w14:textId="01A41B3F" w:rsidR="002C73D0" w:rsidRDefault="00331546">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Three meals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1EF0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ABCB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65.45</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EA5C"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60</w:t>
            </w:r>
          </w:p>
        </w:tc>
      </w:tr>
      <w:tr w:rsidR="002C73D0" w14:paraId="57AE6D8D" w14:textId="77777777" w:rsidTr="00E3075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7BE87" w14:textId="6C91570B" w:rsidR="002C73D0" w:rsidRDefault="00331546">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Four+ meals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5193B"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5E49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3.64</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068BA"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w:t>
            </w:r>
          </w:p>
        </w:tc>
      </w:tr>
    </w:tbl>
    <w:p w14:paraId="10A2506F" w14:textId="77777777" w:rsidR="00331546" w:rsidRDefault="00331546">
      <w:pPr>
        <w:spacing w:after="120" w:line="240" w:lineRule="auto"/>
        <w:jc w:val="both"/>
        <w:rPr>
          <w:rFonts w:ascii="Segoe UI" w:hAnsi="Segoe UI" w:cs="Segoe UI"/>
          <w:sz w:val="24"/>
          <w:szCs w:val="24"/>
        </w:rPr>
      </w:pPr>
    </w:p>
    <w:p w14:paraId="59ADAD16" w14:textId="1EC542D9" w:rsidR="002C73D0" w:rsidRDefault="00000000">
      <w:pPr>
        <w:spacing w:after="120" w:line="240" w:lineRule="auto"/>
        <w:jc w:val="both"/>
        <w:rPr>
          <w:rFonts w:ascii="Segoe UI" w:hAnsi="Segoe UI" w:cs="Segoe UI"/>
          <w:sz w:val="24"/>
          <w:szCs w:val="24"/>
        </w:rPr>
      </w:pPr>
      <w:r>
        <w:rPr>
          <w:rFonts w:ascii="Segoe UI" w:hAnsi="Segoe UI" w:cs="Segoe UI"/>
          <w:sz w:val="24"/>
          <w:szCs w:val="24"/>
        </w:rPr>
        <w:t xml:space="preserve">Table 13 presents the distribution of meal frequency among households, highlighting significant differences in dietary habits. While a notable portion of male-headed households consumes three meals per day, 31% of male-headed households eat only one or two meals daily. In contrast, 53.75% of female-headed households also </w:t>
      </w:r>
      <w:r>
        <w:rPr>
          <w:rFonts w:ascii="Segoe UI" w:hAnsi="Segoe UI" w:cs="Segoe UI"/>
          <w:sz w:val="24"/>
          <w:szCs w:val="24"/>
        </w:rPr>
        <w:lastRenderedPageBreak/>
        <w:t>consume only one or two meals. This reflects the nutritional challenges faced by female-headed households, potentially impacting their overall health and well-being. The disparity suggests that economic constraints and traditional gender roles may limit access to resources and food choices for women.</w:t>
      </w:r>
    </w:p>
    <w:p w14:paraId="62D5A7F2" w14:textId="77777777" w:rsidR="00331546" w:rsidRDefault="00331546">
      <w:pPr>
        <w:spacing w:after="120" w:line="240" w:lineRule="auto"/>
        <w:jc w:val="both"/>
        <w:rPr>
          <w:rFonts w:ascii="Segoe UI" w:hAnsi="Segoe UI" w:cs="Segoe UI"/>
          <w:sz w:val="24"/>
          <w:szCs w:val="24"/>
        </w:rPr>
      </w:pPr>
    </w:p>
    <w:p w14:paraId="76D61049"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14: Frequency of Nutritious Food and Balanced Diet Consumption by Household Type</w:t>
      </w:r>
    </w:p>
    <w:tbl>
      <w:tblPr>
        <w:tblW w:w="9085" w:type="dxa"/>
        <w:tblInd w:w="96" w:type="dxa"/>
        <w:tblLayout w:type="fixed"/>
        <w:tblLook w:val="04A0" w:firstRow="1" w:lastRow="0" w:firstColumn="1" w:lastColumn="0" w:noHBand="0" w:noVBand="1"/>
      </w:tblPr>
      <w:tblGrid>
        <w:gridCol w:w="2509"/>
        <w:gridCol w:w="1096"/>
        <w:gridCol w:w="1096"/>
        <w:gridCol w:w="1096"/>
        <w:gridCol w:w="1096"/>
        <w:gridCol w:w="1096"/>
        <w:gridCol w:w="1096"/>
      </w:tblGrid>
      <w:tr w:rsidR="002C73D0" w14:paraId="725B7C75" w14:textId="77777777">
        <w:trPr>
          <w:trHeight w:val="269"/>
        </w:trPr>
        <w:tc>
          <w:tcPr>
            <w:tcW w:w="2509" w:type="dxa"/>
            <w:vMerge w:val="restart"/>
            <w:tcBorders>
              <w:top w:val="single" w:sz="4" w:space="0" w:color="000000"/>
              <w:left w:val="single" w:sz="4" w:space="0" w:color="000000"/>
              <w:right w:val="single" w:sz="4" w:space="0" w:color="000000"/>
            </w:tcBorders>
            <w:shd w:val="clear" w:color="auto" w:fill="auto"/>
            <w:noWrap/>
            <w:vAlign w:val="center"/>
          </w:tcPr>
          <w:p w14:paraId="0D3BC4EC" w14:textId="77777777" w:rsidR="002C73D0" w:rsidRDefault="002C73D0">
            <w:pPr>
              <w:spacing w:after="120" w:line="240" w:lineRule="auto"/>
              <w:jc w:val="center"/>
              <w:textAlignment w:val="center"/>
              <w:rPr>
                <w:rFonts w:ascii="Segoe UI" w:hAnsi="Segoe UI" w:cs="Segoe UI"/>
                <w:color w:val="000000"/>
              </w:rPr>
            </w:pPr>
          </w:p>
        </w:tc>
        <w:tc>
          <w:tcPr>
            <w:tcW w:w="328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E43B6"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How often do you eat nutritious foods in your household?</w:t>
            </w:r>
          </w:p>
        </w:tc>
        <w:tc>
          <w:tcPr>
            <w:tcW w:w="328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87CE0" w14:textId="77777777" w:rsidR="002C73D0" w:rsidRDefault="00000000">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rPr>
              <w:t>How often do you eat a “balance diet” in your household?</w:t>
            </w:r>
          </w:p>
        </w:tc>
      </w:tr>
      <w:tr w:rsidR="002C73D0" w14:paraId="4AACFBDD" w14:textId="77777777">
        <w:trPr>
          <w:trHeight w:val="162"/>
        </w:trPr>
        <w:tc>
          <w:tcPr>
            <w:tcW w:w="2509" w:type="dxa"/>
            <w:vMerge/>
            <w:tcBorders>
              <w:left w:val="single" w:sz="4" w:space="0" w:color="000000"/>
              <w:bottom w:val="single" w:sz="4" w:space="0" w:color="000000"/>
              <w:right w:val="single" w:sz="4" w:space="0" w:color="000000"/>
            </w:tcBorders>
            <w:shd w:val="clear" w:color="auto" w:fill="auto"/>
            <w:noWrap/>
            <w:vAlign w:val="center"/>
          </w:tcPr>
          <w:p w14:paraId="3AC2819A" w14:textId="77777777" w:rsidR="002C73D0" w:rsidRDefault="002C73D0">
            <w:pPr>
              <w:spacing w:after="120" w:line="240" w:lineRule="auto"/>
              <w:rPr>
                <w:rFonts w:ascii="Segoe UI" w:hAnsi="Segoe UI" w:cs="Segoe UI"/>
                <w:color w:val="000000"/>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2B667"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C75DE"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2A76E"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E0260" w14:textId="77777777" w:rsidR="002C73D0" w:rsidRDefault="00000000">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Female-headed</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DE76F" w14:textId="77777777" w:rsidR="002C73D0" w:rsidRDefault="00000000">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Male-headed</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43688" w14:textId="77777777" w:rsidR="002C73D0" w:rsidRDefault="00000000">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Total</w:t>
            </w:r>
          </w:p>
        </w:tc>
      </w:tr>
      <w:tr w:rsidR="002C73D0" w14:paraId="5B9A43A4" w14:textId="77777777">
        <w:trPr>
          <w:trHeight w:val="230"/>
        </w:trPr>
        <w:tc>
          <w:tcPr>
            <w:tcW w:w="2509" w:type="dxa"/>
            <w:tcBorders>
              <w:top w:val="single" w:sz="4" w:space="0" w:color="000000"/>
              <w:left w:val="single" w:sz="4" w:space="0" w:color="000000"/>
              <w:bottom w:val="single" w:sz="4" w:space="0" w:color="000000"/>
              <w:right w:val="single" w:sz="4" w:space="0" w:color="000000"/>
            </w:tcBorders>
            <w:shd w:val="clear" w:color="auto" w:fill="auto"/>
          </w:tcPr>
          <w:p w14:paraId="69471BCF" w14:textId="77777777" w:rsidR="002C73D0" w:rsidRDefault="00000000">
            <w:pPr>
              <w:spacing w:after="120" w:line="240" w:lineRule="auto"/>
              <w:textAlignment w:val="top"/>
              <w:rPr>
                <w:rFonts w:ascii="Segoe UI" w:hAnsi="Segoe UI" w:cs="Segoe UI"/>
                <w:color w:val="000000"/>
                <w:sz w:val="23"/>
                <w:szCs w:val="23"/>
              </w:rPr>
            </w:pPr>
            <w:r>
              <w:rPr>
                <w:rFonts w:ascii="Segoe UI" w:eastAsia="SimSun" w:hAnsi="Segoe UI" w:cs="Segoe UI"/>
                <w:color w:val="000000"/>
                <w:sz w:val="23"/>
                <w:szCs w:val="23"/>
                <w:lang w:val="en-US" w:eastAsia="zh-CN" w:bidi="ar"/>
              </w:rPr>
              <w:t>In every meal of the day</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2BBD3"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3.75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C6F82"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13.18</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EB09B"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10.67</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A171B"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2.5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536C3"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5.91</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2830B"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w:t>
            </w:r>
          </w:p>
        </w:tc>
      </w:tr>
      <w:tr w:rsidR="002C73D0" w14:paraId="2246C972" w14:textId="77777777">
        <w:trPr>
          <w:trHeight w:val="280"/>
        </w:trPr>
        <w:tc>
          <w:tcPr>
            <w:tcW w:w="2509" w:type="dxa"/>
            <w:tcBorders>
              <w:top w:val="single" w:sz="4" w:space="0" w:color="000000"/>
              <w:left w:val="single" w:sz="4" w:space="0" w:color="000000"/>
              <w:bottom w:val="single" w:sz="4" w:space="0" w:color="000000"/>
              <w:right w:val="single" w:sz="4" w:space="0" w:color="000000"/>
            </w:tcBorders>
            <w:shd w:val="clear" w:color="auto" w:fill="auto"/>
          </w:tcPr>
          <w:p w14:paraId="4821D427" w14:textId="77777777" w:rsidR="002C73D0" w:rsidRDefault="00000000">
            <w:pPr>
              <w:spacing w:after="120" w:line="240" w:lineRule="auto"/>
              <w:textAlignment w:val="top"/>
              <w:rPr>
                <w:rFonts w:ascii="Segoe UI" w:hAnsi="Segoe UI" w:cs="Segoe UI"/>
                <w:color w:val="000000"/>
                <w:sz w:val="23"/>
                <w:szCs w:val="23"/>
              </w:rPr>
            </w:pPr>
            <w:r>
              <w:rPr>
                <w:rFonts w:ascii="Segoe UI" w:eastAsia="SimSun" w:hAnsi="Segoe UI" w:cs="Segoe UI"/>
                <w:color w:val="000000"/>
                <w:sz w:val="23"/>
                <w:szCs w:val="23"/>
                <w:lang w:val="en-US" w:eastAsia="zh-CN" w:bidi="ar"/>
              </w:rPr>
              <w:t>Once everyday</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4B362"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16.25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2A0EC"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21.82</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47445"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20.33</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D62B1"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11.25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00229"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16.36</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F9AE9"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15</w:t>
            </w:r>
          </w:p>
        </w:tc>
      </w:tr>
      <w:tr w:rsidR="002C73D0" w14:paraId="0BC59C80" w14:textId="77777777">
        <w:trPr>
          <w:trHeight w:val="180"/>
        </w:trPr>
        <w:tc>
          <w:tcPr>
            <w:tcW w:w="2509" w:type="dxa"/>
            <w:tcBorders>
              <w:top w:val="single" w:sz="4" w:space="0" w:color="000000"/>
              <w:left w:val="single" w:sz="4" w:space="0" w:color="000000"/>
              <w:bottom w:val="single" w:sz="4" w:space="0" w:color="000000"/>
              <w:right w:val="single" w:sz="4" w:space="0" w:color="000000"/>
            </w:tcBorders>
            <w:shd w:val="clear" w:color="auto" w:fill="auto"/>
          </w:tcPr>
          <w:p w14:paraId="10AACF77" w14:textId="77777777" w:rsidR="002C73D0" w:rsidRDefault="00000000">
            <w:pPr>
              <w:spacing w:after="120" w:line="240" w:lineRule="auto"/>
              <w:textAlignment w:val="top"/>
              <w:rPr>
                <w:rFonts w:ascii="Segoe UI" w:hAnsi="Segoe UI" w:cs="Segoe UI"/>
                <w:color w:val="000000"/>
                <w:sz w:val="23"/>
                <w:szCs w:val="23"/>
              </w:rPr>
            </w:pPr>
            <w:r>
              <w:rPr>
                <w:rFonts w:ascii="Segoe UI" w:eastAsia="SimSun" w:hAnsi="Segoe UI" w:cs="Segoe UI"/>
                <w:color w:val="000000"/>
                <w:sz w:val="23"/>
                <w:szCs w:val="23"/>
                <w:lang w:val="en-US" w:eastAsia="zh-CN" w:bidi="ar"/>
              </w:rPr>
              <w:t>A few days in a week</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5D2CA"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38.75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43898"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35.45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BF550"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36.33</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ECC97"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40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B7E1F"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37.73</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226C1"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38.33</w:t>
            </w:r>
          </w:p>
        </w:tc>
      </w:tr>
      <w:tr w:rsidR="002C73D0" w14:paraId="3C79F5D6" w14:textId="77777777">
        <w:trPr>
          <w:trHeight w:val="280"/>
        </w:trPr>
        <w:tc>
          <w:tcPr>
            <w:tcW w:w="2509" w:type="dxa"/>
            <w:tcBorders>
              <w:top w:val="single" w:sz="4" w:space="0" w:color="000000"/>
              <w:left w:val="single" w:sz="4" w:space="0" w:color="000000"/>
              <w:bottom w:val="single" w:sz="4" w:space="0" w:color="000000"/>
              <w:right w:val="single" w:sz="4" w:space="0" w:color="000000"/>
            </w:tcBorders>
            <w:shd w:val="clear" w:color="auto" w:fill="auto"/>
          </w:tcPr>
          <w:p w14:paraId="37118835" w14:textId="77777777" w:rsidR="002C73D0" w:rsidRDefault="00000000">
            <w:pPr>
              <w:spacing w:after="120" w:line="240" w:lineRule="auto"/>
              <w:textAlignment w:val="top"/>
              <w:rPr>
                <w:rFonts w:ascii="Segoe UI" w:hAnsi="Segoe UI" w:cs="Segoe UI"/>
                <w:color w:val="000000"/>
                <w:sz w:val="23"/>
                <w:szCs w:val="23"/>
              </w:rPr>
            </w:pPr>
            <w:r>
              <w:rPr>
                <w:rFonts w:ascii="Segoe UI" w:eastAsia="SimSun" w:hAnsi="Segoe UI" w:cs="Segoe UI"/>
                <w:color w:val="000000"/>
                <w:sz w:val="23"/>
                <w:szCs w:val="23"/>
                <w:lang w:val="en-US" w:eastAsia="zh-CN" w:bidi="ar"/>
              </w:rPr>
              <w:t>Once a week</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32B73"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6BE95"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7.73</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A31DE"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9.67</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80663"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11.25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9DDA7"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11.82</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939C4"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11.67</w:t>
            </w:r>
          </w:p>
        </w:tc>
      </w:tr>
      <w:tr w:rsidR="002C73D0" w14:paraId="54231C51" w14:textId="77777777">
        <w:trPr>
          <w:trHeight w:val="280"/>
        </w:trPr>
        <w:tc>
          <w:tcPr>
            <w:tcW w:w="2509" w:type="dxa"/>
            <w:tcBorders>
              <w:top w:val="single" w:sz="4" w:space="0" w:color="000000"/>
              <w:left w:val="single" w:sz="4" w:space="0" w:color="000000"/>
              <w:bottom w:val="single" w:sz="4" w:space="0" w:color="000000"/>
              <w:right w:val="single" w:sz="4" w:space="0" w:color="000000"/>
            </w:tcBorders>
            <w:shd w:val="clear" w:color="auto" w:fill="auto"/>
          </w:tcPr>
          <w:p w14:paraId="2DD8E038" w14:textId="77777777" w:rsidR="002C73D0" w:rsidRDefault="00000000">
            <w:pPr>
              <w:spacing w:after="120" w:line="240" w:lineRule="auto"/>
              <w:textAlignment w:val="top"/>
              <w:rPr>
                <w:rFonts w:ascii="Segoe UI" w:hAnsi="Segoe UI" w:cs="Segoe UI"/>
                <w:color w:val="000000"/>
                <w:sz w:val="23"/>
                <w:szCs w:val="23"/>
              </w:rPr>
            </w:pPr>
            <w:r>
              <w:rPr>
                <w:rFonts w:ascii="Segoe UI" w:eastAsia="SimSun" w:hAnsi="Segoe UI" w:cs="Segoe UI"/>
                <w:color w:val="000000"/>
                <w:sz w:val="23"/>
                <w:szCs w:val="23"/>
                <w:lang w:val="en-US" w:eastAsia="zh-CN" w:bidi="ar"/>
              </w:rPr>
              <w:t>Very rarely</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E9723"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26.25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90EE7"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20.45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D910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22</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29775"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32.5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94763"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23.18</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45950"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25.67</w:t>
            </w:r>
          </w:p>
        </w:tc>
      </w:tr>
      <w:tr w:rsidR="002C73D0" w14:paraId="760892C0" w14:textId="77777777">
        <w:trPr>
          <w:trHeight w:val="289"/>
        </w:trPr>
        <w:tc>
          <w:tcPr>
            <w:tcW w:w="2509" w:type="dxa"/>
            <w:tcBorders>
              <w:top w:val="single" w:sz="4" w:space="0" w:color="000000"/>
              <w:left w:val="single" w:sz="4" w:space="0" w:color="000000"/>
              <w:bottom w:val="single" w:sz="4" w:space="0" w:color="000000"/>
              <w:right w:val="single" w:sz="4" w:space="0" w:color="000000"/>
            </w:tcBorders>
            <w:shd w:val="clear" w:color="auto" w:fill="auto"/>
          </w:tcPr>
          <w:p w14:paraId="6202297D" w14:textId="77777777" w:rsidR="002C73D0" w:rsidRDefault="00000000">
            <w:pPr>
              <w:spacing w:after="120" w:line="240" w:lineRule="auto"/>
              <w:textAlignment w:val="top"/>
              <w:rPr>
                <w:rFonts w:ascii="Segoe UI" w:hAnsi="Segoe UI" w:cs="Segoe UI"/>
                <w:color w:val="000000"/>
                <w:sz w:val="23"/>
                <w:szCs w:val="23"/>
              </w:rPr>
            </w:pPr>
            <w:r>
              <w:rPr>
                <w:rFonts w:ascii="Segoe UI" w:eastAsia="SimSun" w:hAnsi="Segoe UI" w:cs="Segoe UI"/>
                <w:color w:val="000000"/>
                <w:sz w:val="23"/>
                <w:szCs w:val="23"/>
                <w:lang w:val="en-US" w:eastAsia="zh-CN" w:bidi="ar"/>
              </w:rPr>
              <w:t>Never</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E86FE"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D64F0"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1.36</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61A8A"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4E152"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2.5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4E1AD"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2905A"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4.33</w:t>
            </w:r>
          </w:p>
        </w:tc>
      </w:tr>
    </w:tbl>
    <w:p w14:paraId="38EF5C88" w14:textId="77777777" w:rsidR="00331546" w:rsidRDefault="00331546">
      <w:pPr>
        <w:spacing w:after="120" w:line="240" w:lineRule="auto"/>
        <w:jc w:val="both"/>
        <w:rPr>
          <w:rFonts w:ascii="Segoe UI" w:hAnsi="Segoe UI" w:cs="Segoe UI"/>
          <w:sz w:val="24"/>
          <w:szCs w:val="24"/>
        </w:rPr>
      </w:pPr>
    </w:p>
    <w:p w14:paraId="41F2C995" w14:textId="3998E0A8" w:rsidR="002C73D0" w:rsidRDefault="00000000">
      <w:pPr>
        <w:spacing w:after="120" w:line="240" w:lineRule="auto"/>
        <w:jc w:val="both"/>
        <w:rPr>
          <w:rFonts w:ascii="Segoe UI" w:hAnsi="Segoe UI" w:cs="Segoe UI"/>
          <w:sz w:val="24"/>
          <w:szCs w:val="24"/>
        </w:rPr>
      </w:pPr>
      <w:r>
        <w:rPr>
          <w:rFonts w:ascii="Segoe UI" w:hAnsi="Segoe UI" w:cs="Segoe UI"/>
          <w:sz w:val="24"/>
          <w:szCs w:val="24"/>
        </w:rPr>
        <w:t>Consumption patterns further reflect these disparities. Table 14 presents insights into the frequency of nutritious food and balanced diet consumption among households, revealing significant disparities between female-headed and male-headed households. Female-headed households consume nutritious foods daily at a rate of 3.75%, while male-headed households do so at 13.18%. Additionally, the combined proportions of those who consume nutritious foods very rarely or never stand at 26.25% for female-headed households and 21.81% for male-headed households, indicating that female-headed households face greater challenges in accessing nutritious foods. For balanced diets, 2.5% of female-headed households consume a balanced diet at every meal, compared to 5.91% of male-headed households. The combined figures for those consuming a balanced diet very rarely or never are 35% for female-headed households and 28.18% for male-headed households, further highlighting the nutritional challenges faced by female-headed households. Overall, these findings point to the need for targeted interventions to improve dietary practices, particularly among female-headed households.</w:t>
      </w:r>
    </w:p>
    <w:p w14:paraId="722AE00D" w14:textId="77777777" w:rsidR="00331546" w:rsidRDefault="00331546">
      <w:pPr>
        <w:spacing w:after="120" w:line="240" w:lineRule="auto"/>
        <w:jc w:val="both"/>
        <w:rPr>
          <w:rFonts w:ascii="Segoe UI" w:hAnsi="Segoe UI" w:cs="Segoe UI"/>
          <w:sz w:val="24"/>
          <w:szCs w:val="24"/>
        </w:rPr>
      </w:pPr>
    </w:p>
    <w:p w14:paraId="1A2C4075"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15:  Meal Consumption Patterns and Balanced Diet Intake by Household Members</w:t>
      </w:r>
    </w:p>
    <w:tbl>
      <w:tblPr>
        <w:tblW w:w="9146" w:type="dxa"/>
        <w:tblInd w:w="96" w:type="dxa"/>
        <w:tblLayout w:type="fixed"/>
        <w:tblLook w:val="04A0" w:firstRow="1" w:lastRow="0" w:firstColumn="1" w:lastColumn="0" w:noHBand="0" w:noVBand="1"/>
      </w:tblPr>
      <w:tblGrid>
        <w:gridCol w:w="1969"/>
        <w:gridCol w:w="1196"/>
        <w:gridCol w:w="1196"/>
        <w:gridCol w:w="1196"/>
        <w:gridCol w:w="1196"/>
        <w:gridCol w:w="1196"/>
        <w:gridCol w:w="1197"/>
      </w:tblGrid>
      <w:tr w:rsidR="00331546" w14:paraId="0B032197" w14:textId="77777777" w:rsidTr="00331546">
        <w:trPr>
          <w:trHeight w:val="300"/>
        </w:trPr>
        <w:tc>
          <w:tcPr>
            <w:tcW w:w="1969" w:type="dxa"/>
            <w:vMerge w:val="restart"/>
            <w:tcBorders>
              <w:top w:val="single" w:sz="4" w:space="0" w:color="000000"/>
              <w:left w:val="single" w:sz="4" w:space="0" w:color="000000"/>
              <w:right w:val="single" w:sz="4" w:space="0" w:color="000000"/>
            </w:tcBorders>
            <w:shd w:val="clear" w:color="auto" w:fill="auto"/>
            <w:noWrap/>
            <w:vAlign w:val="center"/>
          </w:tcPr>
          <w:p w14:paraId="2EB18E7D" w14:textId="77777777" w:rsidR="00331546" w:rsidRDefault="00331546">
            <w:pPr>
              <w:spacing w:after="120" w:line="240" w:lineRule="auto"/>
              <w:jc w:val="center"/>
              <w:textAlignment w:val="center"/>
              <w:rPr>
                <w:rFonts w:ascii="Segoe UI" w:hAnsi="Segoe UI" w:cs="Segoe UI"/>
                <w:color w:val="000000"/>
              </w:rPr>
            </w:pPr>
          </w:p>
        </w:tc>
        <w:tc>
          <w:tcPr>
            <w:tcW w:w="358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41DE9" w14:textId="77777777" w:rsidR="00331546" w:rsidRDefault="00331546">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Who consumes more meals in day in a household</w:t>
            </w:r>
          </w:p>
        </w:tc>
        <w:tc>
          <w:tcPr>
            <w:tcW w:w="358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C5EF1" w14:textId="71E239F9" w:rsidR="00331546" w:rsidRDefault="00331546">
            <w:pPr>
              <w:spacing w:after="120" w:line="240" w:lineRule="auto"/>
              <w:jc w:val="center"/>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Who in your household tends to eat more “Balanced Diet”</w:t>
            </w:r>
          </w:p>
        </w:tc>
      </w:tr>
      <w:tr w:rsidR="00331546" w14:paraId="23E2E4FF" w14:textId="77777777" w:rsidTr="00331546">
        <w:trPr>
          <w:trHeight w:val="300"/>
        </w:trPr>
        <w:tc>
          <w:tcPr>
            <w:tcW w:w="1969" w:type="dxa"/>
            <w:vMerge/>
            <w:tcBorders>
              <w:left w:val="single" w:sz="4" w:space="0" w:color="000000"/>
              <w:bottom w:val="single" w:sz="4" w:space="0" w:color="000000"/>
              <w:right w:val="single" w:sz="4" w:space="0" w:color="000000"/>
            </w:tcBorders>
            <w:shd w:val="clear" w:color="auto" w:fill="auto"/>
            <w:noWrap/>
            <w:vAlign w:val="center"/>
          </w:tcPr>
          <w:p w14:paraId="122C4FC3" w14:textId="77777777" w:rsidR="00331546" w:rsidRDefault="00331546">
            <w:pPr>
              <w:spacing w:after="120" w:line="240" w:lineRule="auto"/>
              <w:rPr>
                <w:rFonts w:ascii="Segoe UI" w:hAnsi="Segoe UI" w:cs="Segoe UI"/>
                <w:color w:val="000000"/>
              </w:rPr>
            </w:pP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C9E44" w14:textId="77777777" w:rsidR="00331546" w:rsidRDefault="00331546">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079E9" w14:textId="77777777" w:rsidR="00331546" w:rsidRDefault="00331546">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1A601" w14:textId="77777777" w:rsidR="00331546" w:rsidRDefault="00331546">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A3D59" w14:textId="77777777" w:rsidR="00331546" w:rsidRDefault="00331546">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Female-headed</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02FAA" w14:textId="77777777" w:rsidR="00331546" w:rsidRDefault="00331546">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Male-headed</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1464D" w14:textId="77777777" w:rsidR="00331546" w:rsidRDefault="00331546">
            <w:pPr>
              <w:spacing w:after="120" w:line="240" w:lineRule="auto"/>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Total</w:t>
            </w:r>
          </w:p>
        </w:tc>
      </w:tr>
      <w:tr w:rsidR="002C73D0" w14:paraId="3B7DB822" w14:textId="77777777" w:rsidTr="00331546">
        <w:trPr>
          <w:trHeight w:val="300"/>
        </w:trPr>
        <w:tc>
          <w:tcPr>
            <w:tcW w:w="19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7C920"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 adults</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BBD32"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18.75</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60892"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36.82</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3A7F8"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32</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FDA9D"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16.25</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2AD40"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50.45</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D3F9A"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41.33</w:t>
            </w:r>
          </w:p>
        </w:tc>
      </w:tr>
      <w:tr w:rsidR="002C73D0" w14:paraId="1DD2575A" w14:textId="77777777" w:rsidTr="00331546">
        <w:trPr>
          <w:trHeight w:val="300"/>
        </w:trPr>
        <w:tc>
          <w:tcPr>
            <w:tcW w:w="19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DCB3D"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 adults</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AC9A9"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51.5</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744D2"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37.27</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7D966"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41</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BDEDE"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52.5</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1C90F"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50.45</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B1932"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51</w:t>
            </w:r>
          </w:p>
        </w:tc>
      </w:tr>
      <w:tr w:rsidR="002C73D0" w14:paraId="48C0E621" w14:textId="77777777" w:rsidTr="00331546">
        <w:trPr>
          <w:trHeight w:val="300"/>
        </w:trPr>
        <w:tc>
          <w:tcPr>
            <w:tcW w:w="19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DD669"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 xml:space="preserve">Male children </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75541"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42.5</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E9A04"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59.09</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791F3"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54.67</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6F2EB"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51.25</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1DA77"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59.09</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6F0CF"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57</w:t>
            </w:r>
          </w:p>
        </w:tc>
      </w:tr>
      <w:tr w:rsidR="002C73D0" w14:paraId="0E7D8C1A" w14:textId="77777777" w:rsidTr="00331546">
        <w:trPr>
          <w:trHeight w:val="300"/>
        </w:trPr>
        <w:tc>
          <w:tcPr>
            <w:tcW w:w="19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94AEB"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 children</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BE56D"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61.25</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D4815"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64.09</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34463"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63.33</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38658"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62.5</w:t>
            </w:r>
          </w:p>
        </w:tc>
        <w:tc>
          <w:tcPr>
            <w:tcW w:w="11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5CBE3"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65.45</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BAF36" w14:textId="77777777" w:rsidR="002C73D0" w:rsidRDefault="00000000">
            <w:pPr>
              <w:spacing w:after="120" w:line="240" w:lineRule="auto"/>
              <w:jc w:val="right"/>
              <w:textAlignment w:val="center"/>
              <w:rPr>
                <w:rFonts w:ascii="Segoe UI" w:eastAsia="SimSun" w:hAnsi="Segoe UI" w:cs="Segoe UI"/>
                <w:color w:val="000000"/>
                <w:lang w:val="en-US" w:eastAsia="zh-CN" w:bidi="ar"/>
              </w:rPr>
            </w:pPr>
            <w:r>
              <w:rPr>
                <w:rFonts w:ascii="Segoe UI" w:eastAsia="SimSun" w:hAnsi="Segoe UI" w:cs="Segoe UI"/>
                <w:color w:val="000000"/>
                <w:lang w:val="en-US" w:eastAsia="zh-CN" w:bidi="ar"/>
              </w:rPr>
              <w:t>64.67</w:t>
            </w:r>
          </w:p>
        </w:tc>
      </w:tr>
    </w:tbl>
    <w:p w14:paraId="35FA82CA" w14:textId="77777777" w:rsidR="00A30594" w:rsidRDefault="00A30594">
      <w:pPr>
        <w:spacing w:after="120" w:line="240" w:lineRule="auto"/>
        <w:jc w:val="both"/>
        <w:rPr>
          <w:rFonts w:ascii="Segoe UI" w:hAnsi="Segoe UI" w:cs="Segoe UI"/>
          <w:sz w:val="24"/>
          <w:szCs w:val="24"/>
        </w:rPr>
      </w:pPr>
    </w:p>
    <w:p w14:paraId="01748110" w14:textId="2370B5C8"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15 examines meal consumption and balanced diet patterns within households, revealing notable gender disparities. Among male adults, 36.82% in male-headed households consume more meals compared to 18.75% in female-headed households. In contrast, female adults in female-headed households are more likely to consume meals, with 51.5% compared to 37.27% in male-headed households.</w:t>
      </w:r>
    </w:p>
    <w:p w14:paraId="6D87FE74"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Interestingly, male children also show higher consumption rates in male-headed households (59.09%) versus female-headed (42.5%). However, female children consistently consume more meals across both types, with 61.25% in female-headed households and 64.09% in male-headed households.</w:t>
      </w:r>
    </w:p>
    <w:p w14:paraId="15399876"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When it comes to eating a balanced diet, male adults in male-headed households demonstrate higher rates (50.45%) than their female-headed counterparts (16.25%). Conversely, female adults in both household types show similar levels of balanced diet consumption, with slightly higher figures in female-headed households (52.5%). These findings highlight the varying dynamics of meal consumption and dietary choices within households, indicating the need for interventions tailored to enhance nutritional practices across different demographics.</w:t>
      </w:r>
    </w:p>
    <w:p w14:paraId="5D9AB0AC" w14:textId="77777777" w:rsidR="002C73D0" w:rsidRDefault="002C73D0">
      <w:pPr>
        <w:tabs>
          <w:tab w:val="left" w:pos="2260"/>
        </w:tabs>
        <w:spacing w:after="120" w:line="240" w:lineRule="auto"/>
        <w:rPr>
          <w:rFonts w:ascii="Segoe UI" w:hAnsi="Segoe UI" w:cs="Segoe UI"/>
          <w:b/>
          <w:lang w:val="en-US"/>
        </w:rPr>
      </w:pPr>
    </w:p>
    <w:p w14:paraId="33063522" w14:textId="77777777" w:rsidR="002C73D0" w:rsidRDefault="00000000">
      <w:pPr>
        <w:pStyle w:val="Heading2"/>
        <w:spacing w:before="120" w:after="180" w:line="240" w:lineRule="auto"/>
        <w:rPr>
          <w:rFonts w:ascii="Segoe UI" w:hAnsi="Segoe UI" w:cs="Segoe UI"/>
          <w:sz w:val="26"/>
          <w:szCs w:val="26"/>
        </w:rPr>
      </w:pPr>
      <w:bookmarkStart w:id="5" w:name="_Hlk183627920"/>
      <w:r>
        <w:rPr>
          <w:rFonts w:ascii="Segoe UI" w:hAnsi="Segoe UI" w:cs="Segoe UI"/>
          <w:sz w:val="26"/>
          <w:szCs w:val="26"/>
        </w:rPr>
        <w:t>3.3 Perceptions and Strategies Regarding Nutrient-Rich Food Prices</w:t>
      </w:r>
    </w:p>
    <w:bookmarkEnd w:id="5"/>
    <w:p w14:paraId="10312EEC"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 xml:space="preserve">Understanding perceptions of nutrient-rich food prices is essential for addressing dietary choices. Our analysis aims to reveal how gender and household type influence perceptions of affordability, barriers to access, and coping strategies related to food pricing. </w:t>
      </w:r>
    </w:p>
    <w:p w14:paraId="49E1D7D8"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16: Affordability of Nutritious Food by Household Type</w:t>
      </w:r>
    </w:p>
    <w:tbl>
      <w:tblPr>
        <w:tblW w:w="6199" w:type="dxa"/>
        <w:tblInd w:w="96" w:type="dxa"/>
        <w:tblLook w:val="04A0" w:firstRow="1" w:lastRow="0" w:firstColumn="1" w:lastColumn="0" w:noHBand="0" w:noVBand="1"/>
      </w:tblPr>
      <w:tblGrid>
        <w:gridCol w:w="1706"/>
        <w:gridCol w:w="1722"/>
        <w:gridCol w:w="1508"/>
        <w:gridCol w:w="1263"/>
      </w:tblGrid>
      <w:tr w:rsidR="002C73D0" w14:paraId="5886A800" w14:textId="77777777" w:rsidTr="00E30756">
        <w:trPr>
          <w:trHeight w:val="288"/>
        </w:trPr>
        <w:tc>
          <w:tcPr>
            <w:tcW w:w="6199"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25793" w14:textId="77777777" w:rsidR="002C73D0" w:rsidRDefault="00000000">
            <w:pPr>
              <w:jc w:val="center"/>
              <w:textAlignment w:val="center"/>
              <w:rPr>
                <w:rFonts w:ascii="Segoe UI" w:hAnsi="Segoe UI" w:cs="Segoe UI"/>
                <w:color w:val="000000"/>
              </w:rPr>
            </w:pPr>
            <w:r>
              <w:rPr>
                <w:rFonts w:ascii="Segoe UI" w:eastAsia="SimSun" w:hAnsi="Segoe UI" w:cs="Segoe UI"/>
                <w:color w:val="000000"/>
                <w:lang w:val="en-US" w:eastAsia="zh-CN" w:bidi="ar"/>
              </w:rPr>
              <w:t xml:space="preserve">Affordability of nutritious food </w:t>
            </w:r>
          </w:p>
        </w:tc>
      </w:tr>
      <w:tr w:rsidR="002C73D0" w14:paraId="7527FB21" w14:textId="77777777" w:rsidTr="00E3075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7DCBF" w14:textId="77777777" w:rsidR="002C73D0" w:rsidRDefault="002C73D0">
            <w:pPr>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C4F93"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5791E"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44F04"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022292BD" w14:textId="77777777" w:rsidTr="00E3075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A276A"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Very affordable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6BBE3"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2DE04"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0.45</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BFE2B"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0.33</w:t>
            </w:r>
          </w:p>
        </w:tc>
      </w:tr>
      <w:tr w:rsidR="002C73D0" w14:paraId="0DD643D7" w14:textId="77777777" w:rsidTr="00E3075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40B58"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Affordable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3E8AB"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27.5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1AD59"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34.55</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3F3A1"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32.67</w:t>
            </w:r>
          </w:p>
        </w:tc>
      </w:tr>
      <w:tr w:rsidR="002C73D0" w14:paraId="5E937FF8" w14:textId="77777777" w:rsidTr="00E3075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550DA"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lastRenderedPageBreak/>
              <w:t>Expensive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BB72A"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EA125"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45</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8EEF2"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47</w:t>
            </w:r>
          </w:p>
        </w:tc>
      </w:tr>
      <w:tr w:rsidR="002C73D0" w14:paraId="11367B62" w14:textId="77777777" w:rsidTr="00E30756">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146ED"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Very expensive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AD946"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E30D6"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20</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47CD9"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20</w:t>
            </w:r>
          </w:p>
        </w:tc>
      </w:tr>
    </w:tbl>
    <w:p w14:paraId="075A9E4B" w14:textId="77777777" w:rsidR="00E30756" w:rsidRDefault="00E30756">
      <w:pPr>
        <w:spacing w:after="120" w:line="240" w:lineRule="auto"/>
        <w:jc w:val="both"/>
        <w:rPr>
          <w:rFonts w:ascii="Segoe UI" w:hAnsi="Segoe UI" w:cs="Segoe UI"/>
          <w:sz w:val="24"/>
          <w:szCs w:val="24"/>
        </w:rPr>
      </w:pPr>
    </w:p>
    <w:p w14:paraId="72281D50" w14:textId="6B754C77" w:rsidR="002C73D0" w:rsidRDefault="00000000" w:rsidP="00B82CC4">
      <w:pPr>
        <w:spacing w:after="120" w:line="240" w:lineRule="auto"/>
        <w:jc w:val="both"/>
        <w:rPr>
          <w:rFonts w:ascii="Segoe UI" w:hAnsi="Segoe UI" w:cs="Segoe UI"/>
          <w:sz w:val="24"/>
          <w:szCs w:val="24"/>
        </w:rPr>
      </w:pPr>
      <w:r>
        <w:rPr>
          <w:rFonts w:ascii="Segoe UI" w:hAnsi="Segoe UI" w:cs="Segoe UI"/>
          <w:sz w:val="24"/>
          <w:szCs w:val="24"/>
        </w:rPr>
        <w:t>This table reveals that a considerable proportion of both female-headed (52.5%) and male-headed (45%) households perceive nutritious food as expensive. Notably, no female-headed households find these foods very affordable, highlighting economic constraints that may limit healthy dietary choices.</w:t>
      </w:r>
      <w:r w:rsidR="00B82CC4">
        <w:rPr>
          <w:rFonts w:ascii="Segoe UI" w:hAnsi="Segoe UI" w:cs="Segoe UI"/>
          <w:sz w:val="24"/>
          <w:szCs w:val="24"/>
        </w:rPr>
        <w:t xml:space="preserve"> The results align with </w:t>
      </w:r>
      <w:r w:rsidR="00B82CC4" w:rsidRPr="00B82CC4">
        <w:rPr>
          <w:rFonts w:ascii="Segoe UI" w:hAnsi="Segoe UI" w:cs="Segoe UI"/>
          <w:sz w:val="24"/>
          <w:szCs w:val="24"/>
        </w:rPr>
        <w:t>findings from previous research (Raghunathan et al., 2021; Ryckman et al., 2021; Bai et al., 2021; Herforth et al., 2020; WFP, 2019; Hirvonen et al., 2019). These studies</w:t>
      </w:r>
      <w:r w:rsidR="00B82CC4">
        <w:rPr>
          <w:rFonts w:ascii="Segoe UI" w:hAnsi="Segoe UI" w:cs="Segoe UI"/>
          <w:sz w:val="24"/>
          <w:szCs w:val="24"/>
        </w:rPr>
        <w:t xml:space="preserve"> </w:t>
      </w:r>
      <w:r w:rsidR="00B82CC4" w:rsidRPr="00B82CC4">
        <w:rPr>
          <w:rFonts w:ascii="Segoe UI" w:hAnsi="Segoe UI" w:cs="Segoe UI"/>
          <w:sz w:val="24"/>
          <w:szCs w:val="24"/>
        </w:rPr>
        <w:t>consistently highlight that the affordability of nutritious food is a significant barrier to obtaining a healthy, balanced diet that meets dietary needs.</w:t>
      </w:r>
    </w:p>
    <w:p w14:paraId="12A1CAF1" w14:textId="77777777" w:rsidR="00E30756" w:rsidRDefault="00E30756">
      <w:pPr>
        <w:spacing w:after="120" w:line="240" w:lineRule="auto"/>
        <w:jc w:val="both"/>
        <w:rPr>
          <w:rFonts w:ascii="Segoe UI" w:hAnsi="Segoe UI" w:cs="Segoe UI"/>
          <w:sz w:val="24"/>
          <w:szCs w:val="24"/>
        </w:rPr>
      </w:pPr>
    </w:p>
    <w:p w14:paraId="07F9878B"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17: Comparison of Nutrient-Rich Food Prices to Less Nutritious Foods</w:t>
      </w:r>
    </w:p>
    <w:tbl>
      <w:tblPr>
        <w:tblW w:w="7009" w:type="dxa"/>
        <w:tblInd w:w="96" w:type="dxa"/>
        <w:tblLook w:val="04A0" w:firstRow="1" w:lastRow="0" w:firstColumn="1" w:lastColumn="0" w:noHBand="0" w:noVBand="1"/>
      </w:tblPr>
      <w:tblGrid>
        <w:gridCol w:w="2054"/>
        <w:gridCol w:w="1920"/>
        <w:gridCol w:w="1682"/>
        <w:gridCol w:w="1353"/>
      </w:tblGrid>
      <w:tr w:rsidR="002C73D0" w14:paraId="24483468" w14:textId="77777777" w:rsidTr="00B82CC4">
        <w:trPr>
          <w:trHeight w:val="519"/>
        </w:trPr>
        <w:tc>
          <w:tcPr>
            <w:tcW w:w="7009"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8E2E" w14:textId="77777777" w:rsidR="002C73D0" w:rsidRDefault="00000000">
            <w:pPr>
              <w:jc w:val="center"/>
              <w:textAlignment w:val="center"/>
              <w:rPr>
                <w:rFonts w:ascii="Segoe UI" w:hAnsi="Segoe UI" w:cs="Segoe UI"/>
                <w:color w:val="000000"/>
              </w:rPr>
            </w:pPr>
            <w:r>
              <w:rPr>
                <w:rFonts w:ascii="Segoe UI" w:eastAsia="SimSun" w:hAnsi="Segoe UI" w:cs="Segoe UI"/>
                <w:color w:val="000000"/>
                <w:lang w:val="en-US" w:eastAsia="zh-CN" w:bidi="ar"/>
              </w:rPr>
              <w:t xml:space="preserve">Comparison of nutrient-rich food prices to less nutritious foods </w:t>
            </w:r>
          </w:p>
        </w:tc>
      </w:tr>
      <w:tr w:rsidR="002C73D0" w14:paraId="059974E5" w14:textId="77777777" w:rsidTr="00B82CC4">
        <w:trPr>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F4E61" w14:textId="77777777" w:rsidR="002C73D0" w:rsidRDefault="002C73D0">
            <w:pPr>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E957D"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9A35E"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2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D32FA"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43A27FAA" w14:textId="77777777" w:rsidTr="00B82CC4">
        <w:trPr>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62106"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Very high</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DC6FC"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23.75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78949"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20.91</w:t>
            </w:r>
          </w:p>
        </w:tc>
        <w:tc>
          <w:tcPr>
            <w:tcW w:w="12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AAA41"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21.67</w:t>
            </w:r>
          </w:p>
        </w:tc>
      </w:tr>
      <w:tr w:rsidR="002C73D0" w14:paraId="378EF6EC" w14:textId="77777777" w:rsidTr="00B82CC4">
        <w:trPr>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886EE"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Higher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410F"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5CC2B"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54.09</w:t>
            </w:r>
          </w:p>
        </w:tc>
        <w:tc>
          <w:tcPr>
            <w:tcW w:w="12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660DE"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53.67</w:t>
            </w:r>
          </w:p>
        </w:tc>
      </w:tr>
      <w:tr w:rsidR="002C73D0" w14:paraId="78B16D8C" w14:textId="77777777" w:rsidTr="00B82CC4">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38026"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Almost the same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7DF0F"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53790"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14.09</w:t>
            </w:r>
          </w:p>
        </w:tc>
        <w:tc>
          <w:tcPr>
            <w:tcW w:w="12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17C7C"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13.67</w:t>
            </w:r>
          </w:p>
        </w:tc>
      </w:tr>
      <w:tr w:rsidR="002C73D0" w14:paraId="4218E7E3" w14:textId="77777777" w:rsidTr="00B82CC4">
        <w:trPr>
          <w:trHeight w:val="292"/>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47F28"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Lower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EFF92"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F35F0"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10.91</w:t>
            </w:r>
          </w:p>
        </w:tc>
        <w:tc>
          <w:tcPr>
            <w:tcW w:w="12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53758"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11</w:t>
            </w:r>
          </w:p>
        </w:tc>
      </w:tr>
    </w:tbl>
    <w:p w14:paraId="2C20AE0A" w14:textId="77777777" w:rsidR="00B82CC4" w:rsidRDefault="00B82CC4">
      <w:pPr>
        <w:spacing w:after="120" w:line="240" w:lineRule="auto"/>
        <w:jc w:val="both"/>
        <w:rPr>
          <w:rFonts w:ascii="Segoe UI" w:hAnsi="Segoe UI" w:cs="Segoe UI"/>
          <w:sz w:val="24"/>
          <w:szCs w:val="24"/>
        </w:rPr>
      </w:pPr>
    </w:p>
    <w:p w14:paraId="5084BCCA" w14:textId="2297063F" w:rsidR="002C73D0" w:rsidRDefault="00000000">
      <w:pPr>
        <w:spacing w:after="120" w:line="240" w:lineRule="auto"/>
        <w:jc w:val="both"/>
        <w:rPr>
          <w:rFonts w:ascii="Segoe UI" w:hAnsi="Segoe UI" w:cs="Segoe UI"/>
          <w:sz w:val="24"/>
          <w:szCs w:val="24"/>
        </w:rPr>
      </w:pPr>
      <w:r>
        <w:rPr>
          <w:rFonts w:ascii="Segoe UI" w:hAnsi="Segoe UI" w:cs="Segoe UI"/>
          <w:sz w:val="24"/>
          <w:szCs w:val="24"/>
        </w:rPr>
        <w:t xml:space="preserve">The data reveals that over 75% of both female-headed and male-headed households perceive nutrient-rich foods as more expensive compared to less nutritious options. This widespread perception </w:t>
      </w:r>
      <w:r w:rsidR="001A54A5">
        <w:rPr>
          <w:rFonts w:ascii="Segoe UI" w:hAnsi="Segoe UI" w:cs="Segoe UI"/>
          <w:sz w:val="24"/>
          <w:szCs w:val="24"/>
        </w:rPr>
        <w:t>emphasizes</w:t>
      </w:r>
      <w:r>
        <w:rPr>
          <w:rFonts w:ascii="Segoe UI" w:hAnsi="Segoe UI" w:cs="Segoe UI"/>
          <w:sz w:val="24"/>
          <w:szCs w:val="24"/>
        </w:rPr>
        <w:t xml:space="preserve"> a significant barrier to accessing healthier food choices, potentially leading to compromises in dietary quality across both household types.</w:t>
      </w:r>
      <w:r w:rsidR="00B82CC4" w:rsidRPr="00B82CC4">
        <w:t xml:space="preserve"> </w:t>
      </w:r>
      <w:r w:rsidR="00B82CC4" w:rsidRPr="00B82CC4">
        <w:rPr>
          <w:rFonts w:ascii="Segoe UI" w:hAnsi="Segoe UI" w:cs="Segoe UI"/>
          <w:sz w:val="24"/>
          <w:szCs w:val="24"/>
        </w:rPr>
        <w:t>These results are similar to findings by (Masters et al., 2018; Raghunathan et al., 2021; Ryckman et al., 2021; Bai et al., 2021) that show that majority of households perceive that nutrient-rich foods (animal source foods, legumes, pulses, and fruits) to be more expensive compared to less nutritious foods (foods high in sugar, salt, and fats).</w:t>
      </w:r>
    </w:p>
    <w:p w14:paraId="25C447FF" w14:textId="77777777" w:rsidR="00B82CC4" w:rsidRDefault="00B82CC4">
      <w:pPr>
        <w:spacing w:after="120" w:line="240" w:lineRule="auto"/>
        <w:jc w:val="both"/>
        <w:rPr>
          <w:rFonts w:ascii="Segoe UI" w:hAnsi="Segoe UI" w:cs="Segoe UI"/>
          <w:sz w:val="24"/>
          <w:szCs w:val="24"/>
        </w:rPr>
      </w:pPr>
    </w:p>
    <w:p w14:paraId="0F4B7C9C"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18: Effects of Rising Food Prices on Consumption Patterns</w:t>
      </w:r>
    </w:p>
    <w:tbl>
      <w:tblPr>
        <w:tblW w:w="8089" w:type="dxa"/>
        <w:tblInd w:w="96" w:type="dxa"/>
        <w:tblLook w:val="04A0" w:firstRow="1" w:lastRow="0" w:firstColumn="1" w:lastColumn="0" w:noHBand="0" w:noVBand="1"/>
      </w:tblPr>
      <w:tblGrid>
        <w:gridCol w:w="3702"/>
        <w:gridCol w:w="1722"/>
        <w:gridCol w:w="1508"/>
        <w:gridCol w:w="1157"/>
      </w:tblGrid>
      <w:tr w:rsidR="002C73D0" w14:paraId="128BC844" w14:textId="77777777" w:rsidTr="00B82CC4">
        <w:trPr>
          <w:trHeight w:val="288"/>
        </w:trPr>
        <w:tc>
          <w:tcPr>
            <w:tcW w:w="8089"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81D60" w14:textId="77777777" w:rsidR="002C73D0" w:rsidRDefault="00000000">
            <w:pPr>
              <w:jc w:val="center"/>
              <w:textAlignment w:val="center"/>
              <w:rPr>
                <w:rFonts w:ascii="Segoe UI" w:hAnsi="Segoe UI" w:cs="Segoe UI"/>
                <w:color w:val="000000"/>
              </w:rPr>
            </w:pPr>
            <w:r>
              <w:rPr>
                <w:rFonts w:ascii="Segoe UI" w:eastAsia="SimSun" w:hAnsi="Segoe UI" w:cs="Segoe UI"/>
                <w:color w:val="000000"/>
                <w:lang w:val="en-US" w:eastAsia="zh-CN" w:bidi="ar"/>
              </w:rPr>
              <w:t>Effect of rise in food prices</w:t>
            </w:r>
          </w:p>
        </w:tc>
      </w:tr>
      <w:tr w:rsidR="002C73D0" w14:paraId="24EB463E" w14:textId="77777777" w:rsidTr="00B82CC4">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E8AC2" w14:textId="77777777" w:rsidR="002C73D0" w:rsidRDefault="002C73D0">
            <w:pPr>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DF4D7"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6B711"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9F4A6" w14:textId="77777777" w:rsidR="002C73D0" w:rsidRDefault="00000000">
            <w:pPr>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6BAABDE2" w14:textId="77777777" w:rsidTr="00B82CC4">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28C5E" w14:textId="7AB29F1A" w:rsidR="002C73D0" w:rsidRDefault="00B82CC4">
            <w:pPr>
              <w:textAlignment w:val="center"/>
              <w:rPr>
                <w:rFonts w:ascii="Segoe UI" w:hAnsi="Segoe UI" w:cs="Segoe UI"/>
                <w:color w:val="000000"/>
              </w:rPr>
            </w:pPr>
            <w:r>
              <w:rPr>
                <w:rFonts w:ascii="Segoe UI" w:eastAsia="SimSun" w:hAnsi="Segoe UI" w:cs="Segoe UI"/>
                <w:color w:val="000000"/>
                <w:lang w:val="en-US" w:eastAsia="zh-CN" w:bidi="ar"/>
              </w:rPr>
              <w:t>Consumption of less nutritious food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FD5CE"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78.75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A09CB"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69.55</w:t>
            </w:r>
          </w:p>
        </w:tc>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66EF1"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72</w:t>
            </w:r>
          </w:p>
        </w:tc>
      </w:tr>
      <w:tr w:rsidR="002C73D0" w14:paraId="01A577E7" w14:textId="77777777" w:rsidTr="00B82CC4">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378FF" w14:textId="33D134C3" w:rsidR="002C73D0" w:rsidRDefault="00B82CC4">
            <w:pPr>
              <w:textAlignment w:val="center"/>
              <w:rPr>
                <w:rFonts w:ascii="Segoe UI" w:hAnsi="Segoe UI" w:cs="Segoe UI"/>
                <w:color w:val="000000"/>
              </w:rPr>
            </w:pPr>
            <w:r>
              <w:rPr>
                <w:rFonts w:ascii="Segoe UI" w:eastAsia="SimSun" w:hAnsi="Segoe UI" w:cs="Segoe UI"/>
                <w:color w:val="000000"/>
                <w:lang w:val="en-US" w:eastAsia="zh-CN" w:bidi="ar"/>
              </w:rPr>
              <w:lastRenderedPageBreak/>
              <w:t>Consumption of less food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585B6"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47.5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75E00"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43.64</w:t>
            </w:r>
          </w:p>
        </w:tc>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DF966"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44.67</w:t>
            </w:r>
          </w:p>
        </w:tc>
      </w:tr>
      <w:tr w:rsidR="002C73D0" w14:paraId="075F703C" w14:textId="77777777" w:rsidTr="00B82CC4">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59516" w14:textId="0ABE7B35" w:rsidR="002C73D0" w:rsidRDefault="00000000">
            <w:pPr>
              <w:textAlignment w:val="center"/>
              <w:rPr>
                <w:rFonts w:ascii="Segoe UI" w:hAnsi="Segoe UI" w:cs="Segoe UI"/>
                <w:color w:val="000000"/>
              </w:rPr>
            </w:pPr>
            <w:r>
              <w:rPr>
                <w:rFonts w:ascii="Segoe UI" w:eastAsia="SimSun" w:hAnsi="Segoe UI" w:cs="Segoe UI"/>
                <w:color w:val="000000"/>
                <w:lang w:eastAsia="zh-CN" w:bidi="ar"/>
              </w:rPr>
              <w:t>S</w:t>
            </w:r>
            <w:r>
              <w:rPr>
                <w:rFonts w:ascii="Segoe UI" w:eastAsia="SimSun" w:hAnsi="Segoe UI" w:cs="Segoe UI"/>
                <w:color w:val="000000"/>
                <w:lang w:val="en-US" w:eastAsia="zh-CN" w:bidi="ar"/>
              </w:rPr>
              <w:t xml:space="preserve">witching to less </w:t>
            </w:r>
            <w:r w:rsidR="00B82CC4">
              <w:rPr>
                <w:rFonts w:ascii="Segoe UI" w:eastAsia="SimSun" w:hAnsi="Segoe UI" w:cs="Segoe UI"/>
                <w:color w:val="000000"/>
                <w:lang w:val="en-US" w:eastAsia="zh-CN" w:bidi="ar"/>
              </w:rPr>
              <w:t>desirable food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5415D"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33.75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95FF5"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32.27</w:t>
            </w:r>
          </w:p>
        </w:tc>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3054E" w14:textId="77777777" w:rsidR="002C73D0" w:rsidRDefault="00000000">
            <w:pPr>
              <w:jc w:val="right"/>
              <w:textAlignment w:val="center"/>
              <w:rPr>
                <w:rFonts w:ascii="Segoe UI" w:hAnsi="Segoe UI" w:cs="Segoe UI"/>
                <w:color w:val="000000"/>
              </w:rPr>
            </w:pPr>
            <w:r>
              <w:rPr>
                <w:rFonts w:ascii="Segoe UI" w:eastAsia="SimSun" w:hAnsi="Segoe UI" w:cs="Segoe UI"/>
                <w:color w:val="000000"/>
                <w:lang w:val="en-US" w:eastAsia="zh-CN" w:bidi="ar"/>
              </w:rPr>
              <w:t>32.67</w:t>
            </w:r>
          </w:p>
        </w:tc>
      </w:tr>
    </w:tbl>
    <w:p w14:paraId="763E0015" w14:textId="77777777" w:rsidR="00B82CC4" w:rsidRDefault="00B82CC4">
      <w:pPr>
        <w:spacing w:after="120" w:line="240" w:lineRule="auto"/>
        <w:jc w:val="both"/>
        <w:rPr>
          <w:rFonts w:ascii="Segoe UI" w:hAnsi="Segoe UI" w:cs="Segoe UI"/>
          <w:sz w:val="24"/>
          <w:szCs w:val="24"/>
        </w:rPr>
      </w:pPr>
    </w:p>
    <w:p w14:paraId="73615AAD" w14:textId="2A83ED8D" w:rsidR="002C73D0" w:rsidRDefault="00000000">
      <w:pPr>
        <w:spacing w:after="120" w:line="240" w:lineRule="auto"/>
        <w:jc w:val="both"/>
        <w:rPr>
          <w:rFonts w:ascii="Segoe UI" w:hAnsi="Segoe UI" w:cs="Segoe UI"/>
          <w:sz w:val="24"/>
          <w:szCs w:val="24"/>
        </w:rPr>
      </w:pPr>
      <w:r>
        <w:rPr>
          <w:rFonts w:ascii="Segoe UI" w:hAnsi="Segoe UI" w:cs="Segoe UI"/>
          <w:sz w:val="24"/>
          <w:szCs w:val="24"/>
        </w:rPr>
        <w:t xml:space="preserve">The findings indicate that a majority of households, regardless of gender, feel the impact of rising food prices. Among female-headed households, 78.75% report consuming less nutritious food, compared to 69.55% of male-headed households. Additionally, 47.5% of female-headed and 43.64% of male-headed households are consuming less overall food. Furthermore, both groups show similar tendencies in switching to less desirable foods, with 33.75% of female-headed and 32.27% of male-headed households making this adjustment. </w:t>
      </w:r>
      <w:r w:rsidR="007F1973" w:rsidRPr="007F1973">
        <w:rPr>
          <w:rFonts w:ascii="Segoe UI" w:hAnsi="Segoe UI" w:cs="Segoe UI"/>
          <w:sz w:val="24"/>
          <w:szCs w:val="24"/>
        </w:rPr>
        <w:t>These patterns reflect the broader economic pressures influencing food choices across different household types. These results are consistent with studies by Brinkman (2020), Bai (2021), and Headey (2024), which demonstrate that rising food prices lead households to alter their consumption patterns, often reducing dietary diversity and opting for less nutritious foods.</w:t>
      </w:r>
    </w:p>
    <w:p w14:paraId="6F958C63" w14:textId="77777777" w:rsidR="00B82CC4" w:rsidRDefault="00B82CC4">
      <w:pPr>
        <w:spacing w:after="120" w:line="240" w:lineRule="auto"/>
        <w:jc w:val="both"/>
        <w:rPr>
          <w:rFonts w:ascii="Segoe UI" w:hAnsi="Segoe UI" w:cs="Segoe UI"/>
          <w:sz w:val="24"/>
          <w:szCs w:val="24"/>
        </w:rPr>
      </w:pPr>
    </w:p>
    <w:p w14:paraId="78E0977B"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19: Perceived Barriers to Accessing Nutritious Food</w:t>
      </w:r>
    </w:p>
    <w:tbl>
      <w:tblPr>
        <w:tblW w:w="7477" w:type="dxa"/>
        <w:tblInd w:w="96" w:type="dxa"/>
        <w:tblLook w:val="04A0" w:firstRow="1" w:lastRow="0" w:firstColumn="1" w:lastColumn="0" w:noHBand="0" w:noVBand="1"/>
      </w:tblPr>
      <w:tblGrid>
        <w:gridCol w:w="2108"/>
        <w:gridCol w:w="1722"/>
        <w:gridCol w:w="1508"/>
        <w:gridCol w:w="2139"/>
      </w:tblGrid>
      <w:tr w:rsidR="002C73D0" w14:paraId="7D8EFFF0" w14:textId="77777777">
        <w:trPr>
          <w:trHeight w:val="288"/>
        </w:trPr>
        <w:tc>
          <w:tcPr>
            <w:tcW w:w="7477"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0349B" w14:textId="77777777" w:rsidR="002C73D0" w:rsidRDefault="00000000">
            <w:pPr>
              <w:spacing w:after="120" w:line="240" w:lineRule="auto"/>
              <w:jc w:val="center"/>
              <w:textAlignment w:val="center"/>
              <w:rPr>
                <w:rFonts w:ascii="Segoe UI" w:hAnsi="Segoe UI" w:cs="Segoe UI"/>
                <w:color w:val="000000"/>
              </w:rPr>
            </w:pPr>
            <w:r>
              <w:rPr>
                <w:rFonts w:ascii="Segoe UI" w:eastAsia="SimSun" w:hAnsi="Segoe UI" w:cs="Segoe UI"/>
                <w:color w:val="000000"/>
                <w:lang w:val="en-US" w:eastAsia="zh-CN" w:bidi="ar"/>
              </w:rPr>
              <w:t xml:space="preserve">Effect of food affordability on access and utilization of nutritious option </w:t>
            </w:r>
          </w:p>
        </w:tc>
      </w:tr>
      <w:tr w:rsidR="002C73D0" w14:paraId="4731D0C0"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D8E06" w14:textId="77777777" w:rsidR="002C73D0" w:rsidRDefault="002C73D0">
            <w:pPr>
              <w:spacing w:after="120" w:line="240" w:lineRule="auto"/>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E757E"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E1940"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21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B61BF"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7B08C594"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232F6"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Significant barrier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9DFB6"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80284"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34.55</w:t>
            </w:r>
          </w:p>
        </w:tc>
        <w:tc>
          <w:tcPr>
            <w:tcW w:w="21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53AAD"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38.67</w:t>
            </w:r>
          </w:p>
        </w:tc>
      </w:tr>
      <w:tr w:rsidR="002C73D0" w14:paraId="20BD7B01"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0AA97"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Somewhat a barrier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D2505"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1F334"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55.45</w:t>
            </w:r>
          </w:p>
        </w:tc>
        <w:tc>
          <w:tcPr>
            <w:tcW w:w="21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E92E"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53</w:t>
            </w:r>
          </w:p>
        </w:tc>
      </w:tr>
      <w:tr w:rsidR="002C73D0" w14:paraId="3DAA7842"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4A16B" w14:textId="77777777" w:rsidR="002C73D0" w:rsidRDefault="00000000">
            <w:pPr>
              <w:spacing w:after="120" w:line="240" w:lineRule="auto"/>
              <w:textAlignment w:val="center"/>
              <w:rPr>
                <w:rFonts w:ascii="Segoe UI" w:hAnsi="Segoe UI" w:cs="Segoe UI"/>
                <w:color w:val="000000"/>
              </w:rPr>
            </w:pPr>
            <w:r>
              <w:rPr>
                <w:rFonts w:ascii="Segoe UI" w:eastAsia="SimSun" w:hAnsi="Segoe UI" w:cs="Segoe UI"/>
                <w:color w:val="000000"/>
                <w:lang w:val="en-US" w:eastAsia="zh-CN" w:bidi="ar"/>
              </w:rPr>
              <w:t>Not a barrier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1475C"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B64D2"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10</w:t>
            </w:r>
          </w:p>
        </w:tc>
        <w:tc>
          <w:tcPr>
            <w:tcW w:w="21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7A24F" w14:textId="77777777" w:rsidR="002C73D0" w:rsidRDefault="00000000">
            <w:pPr>
              <w:spacing w:after="12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8.33</w:t>
            </w:r>
          </w:p>
        </w:tc>
      </w:tr>
    </w:tbl>
    <w:p w14:paraId="1524689D" w14:textId="77777777" w:rsidR="001205AD" w:rsidRDefault="001205AD">
      <w:pPr>
        <w:spacing w:after="120" w:line="240" w:lineRule="auto"/>
        <w:jc w:val="both"/>
        <w:rPr>
          <w:rFonts w:ascii="Segoe UI" w:hAnsi="Segoe UI" w:cs="Segoe UI"/>
          <w:sz w:val="24"/>
          <w:szCs w:val="24"/>
        </w:rPr>
      </w:pPr>
    </w:p>
    <w:p w14:paraId="6A071687" w14:textId="6F8BE82D" w:rsidR="00D712AE" w:rsidRDefault="00000000">
      <w:pPr>
        <w:spacing w:after="120" w:line="240" w:lineRule="auto"/>
        <w:jc w:val="both"/>
        <w:rPr>
          <w:rFonts w:ascii="Segoe UI" w:hAnsi="Segoe UI" w:cs="Segoe UI"/>
          <w:sz w:val="24"/>
          <w:szCs w:val="24"/>
        </w:rPr>
      </w:pPr>
      <w:r>
        <w:rPr>
          <w:rFonts w:ascii="Segoe UI" w:hAnsi="Segoe UI" w:cs="Segoe UI"/>
          <w:sz w:val="24"/>
          <w:szCs w:val="24"/>
        </w:rPr>
        <w:t>The data reveals significant differences in how food affordability affects access to nutritious options between female-headed and male-headed households. A notable 50% of female-headed households consider affordability a significant barrier, compared to 34.55% of male-headed households. Additionally, 46.25% of female-headed respondents feel it is somewhat a barrier, while 55.45% of male-headed households share this sentiment. Only 3.75% of female-headed households reported that affordability is not a barrier, in contrast to 10% of male-headed households. This indicates that female-headed households face greater challenges in accessing nutritious food options, highlighting the need for targeted interventions to address these disparities.</w:t>
      </w:r>
      <w:r w:rsidR="001205AD" w:rsidRPr="001205AD">
        <w:t xml:space="preserve"> </w:t>
      </w:r>
      <w:r w:rsidR="00D712AE">
        <w:rPr>
          <w:rFonts w:ascii="Segoe UI" w:hAnsi="Segoe UI" w:cs="Segoe UI"/>
          <w:sz w:val="24"/>
          <w:szCs w:val="24"/>
        </w:rPr>
        <w:t>T</w:t>
      </w:r>
      <w:r w:rsidR="00D712AE" w:rsidRPr="00D712AE">
        <w:rPr>
          <w:rFonts w:ascii="Segoe UI" w:hAnsi="Segoe UI" w:cs="Segoe UI"/>
          <w:sz w:val="24"/>
          <w:szCs w:val="24"/>
        </w:rPr>
        <w:t xml:space="preserve">hese results are consistent with studies by Brinkman (2020), Bai (2021), and Headey (2024), which demonstrate that </w:t>
      </w:r>
      <w:r w:rsidR="00D712AE">
        <w:rPr>
          <w:rFonts w:ascii="Segoe UI" w:hAnsi="Segoe UI" w:cs="Segoe UI"/>
          <w:sz w:val="24"/>
          <w:szCs w:val="24"/>
        </w:rPr>
        <w:t>low affordability</w:t>
      </w:r>
      <w:r w:rsidR="00D712AE" w:rsidRPr="00D712AE">
        <w:rPr>
          <w:rFonts w:ascii="Segoe UI" w:hAnsi="Segoe UI" w:cs="Segoe UI"/>
          <w:sz w:val="24"/>
          <w:szCs w:val="24"/>
        </w:rPr>
        <w:t xml:space="preserve"> lead</w:t>
      </w:r>
      <w:r w:rsidR="00D712AE">
        <w:rPr>
          <w:rFonts w:ascii="Segoe UI" w:hAnsi="Segoe UI" w:cs="Segoe UI"/>
          <w:sz w:val="24"/>
          <w:szCs w:val="24"/>
        </w:rPr>
        <w:t>s</w:t>
      </w:r>
      <w:r w:rsidR="00D712AE" w:rsidRPr="00D712AE">
        <w:rPr>
          <w:rFonts w:ascii="Segoe UI" w:hAnsi="Segoe UI" w:cs="Segoe UI"/>
          <w:sz w:val="24"/>
          <w:szCs w:val="24"/>
        </w:rPr>
        <w:t xml:space="preserve"> households to alter their consumption patterns, often reducing dietary diversity and opting for less nutritious foods.</w:t>
      </w:r>
    </w:p>
    <w:p w14:paraId="4157B9D7" w14:textId="77777777" w:rsidR="001205AD" w:rsidRDefault="001205AD">
      <w:pPr>
        <w:spacing w:after="120" w:line="240" w:lineRule="auto"/>
        <w:jc w:val="both"/>
        <w:rPr>
          <w:rFonts w:ascii="Segoe UI" w:hAnsi="Segoe UI" w:cs="Segoe UI"/>
          <w:sz w:val="24"/>
          <w:szCs w:val="24"/>
        </w:rPr>
      </w:pPr>
    </w:p>
    <w:p w14:paraId="1CDC47E8"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20: Responses to Increases in Nutritious Food Prices</w:t>
      </w:r>
    </w:p>
    <w:tbl>
      <w:tblPr>
        <w:tblW w:w="7177" w:type="dxa"/>
        <w:tblInd w:w="96" w:type="dxa"/>
        <w:tblLook w:val="04A0" w:firstRow="1" w:lastRow="0" w:firstColumn="1" w:lastColumn="0" w:noHBand="0" w:noVBand="1"/>
      </w:tblPr>
      <w:tblGrid>
        <w:gridCol w:w="3743"/>
        <w:gridCol w:w="1722"/>
        <w:gridCol w:w="1508"/>
        <w:gridCol w:w="739"/>
      </w:tblGrid>
      <w:tr w:rsidR="002C73D0" w14:paraId="4B3FA954" w14:textId="77777777">
        <w:trPr>
          <w:trHeight w:val="288"/>
        </w:trPr>
        <w:tc>
          <w:tcPr>
            <w:tcW w:w="7177"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F4ED2" w14:textId="77777777" w:rsidR="002C73D0" w:rsidRDefault="00000000">
            <w:pPr>
              <w:spacing w:after="0" w:line="240" w:lineRule="auto"/>
              <w:jc w:val="center"/>
              <w:textAlignment w:val="center"/>
              <w:rPr>
                <w:rFonts w:ascii="Segoe UI" w:hAnsi="Segoe UI" w:cs="Segoe UI"/>
                <w:color w:val="000000"/>
              </w:rPr>
            </w:pPr>
            <w:r>
              <w:rPr>
                <w:rFonts w:ascii="Segoe UI" w:eastAsia="SimSun" w:hAnsi="Segoe UI" w:cs="Segoe UI"/>
                <w:color w:val="000000"/>
                <w:lang w:val="en-US" w:eastAsia="zh-CN" w:bidi="ar"/>
              </w:rPr>
              <w:t>Response to sharp increase in nutritious food price</w:t>
            </w:r>
          </w:p>
        </w:tc>
      </w:tr>
      <w:tr w:rsidR="002C73D0" w14:paraId="7495060E"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FC997" w14:textId="77777777" w:rsidR="002C73D0" w:rsidRDefault="002C73D0">
            <w:pPr>
              <w:spacing w:after="0" w:line="240" w:lineRule="auto"/>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58A08"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D4F7D"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F4E8B"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077073C0"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645F1" w14:textId="15C98119" w:rsidR="002C73D0" w:rsidRDefault="00D712AE">
            <w:pPr>
              <w:spacing w:after="0" w:line="240" w:lineRule="auto"/>
              <w:textAlignment w:val="center"/>
              <w:rPr>
                <w:rFonts w:ascii="Segoe UI" w:hAnsi="Segoe UI" w:cs="Segoe UI"/>
                <w:color w:val="000000"/>
                <w:lang w:val="en-US" w:eastAsia="zh-CN"/>
              </w:rPr>
            </w:pPr>
            <w:r>
              <w:rPr>
                <w:rFonts w:ascii="Segoe UI" w:eastAsia="SimSun" w:hAnsi="Segoe UI" w:cs="Segoe UI"/>
                <w:color w:val="000000"/>
                <w:lang w:val="en-US" w:eastAsia="zh-CN" w:bidi="ar"/>
              </w:rPr>
              <w:t>Seeking cheaper alternative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F5F5"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66.25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995D0"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57.73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5364A"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60</w:t>
            </w:r>
          </w:p>
        </w:tc>
      </w:tr>
      <w:tr w:rsidR="002C73D0" w14:paraId="165B046C"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54F71"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Adjusting consumption pattern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5487D"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AC439"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47.27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67388"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48.33</w:t>
            </w:r>
          </w:p>
        </w:tc>
      </w:tr>
      <w:tr w:rsidR="002C73D0" w14:paraId="1EADC17D"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558CF"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Cutting back on non-essentials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CD22A"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794B7"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45.91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0E2E9"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47</w:t>
            </w:r>
          </w:p>
        </w:tc>
      </w:tr>
      <w:tr w:rsidR="002C73D0" w14:paraId="3569B8F5"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49EC5"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Growing food at home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BB48B"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A358C"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35.91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54235"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33.67</w:t>
            </w:r>
          </w:p>
        </w:tc>
      </w:tr>
      <w:tr w:rsidR="002C73D0" w14:paraId="3A9EB575"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95058"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Seeking additional source of income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C026F"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61438"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29585"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8.33</w:t>
            </w:r>
          </w:p>
        </w:tc>
      </w:tr>
      <w:tr w:rsidR="002C73D0" w14:paraId="4189437C"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40E6F"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Bulk buying and stockpiling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ABCB9"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6DD8C"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14.09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E239F"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12</w:t>
            </w:r>
          </w:p>
        </w:tc>
      </w:tr>
      <w:tr w:rsidR="002C73D0" w14:paraId="698BAAED"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EB2C7"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Reduce food waste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D681D"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008FC"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8.64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58D54"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7.67</w:t>
            </w:r>
          </w:p>
        </w:tc>
      </w:tr>
    </w:tbl>
    <w:p w14:paraId="52C64D75" w14:textId="77777777" w:rsidR="00D712AE" w:rsidRDefault="00D712AE">
      <w:pPr>
        <w:spacing w:after="120" w:line="240" w:lineRule="auto"/>
        <w:jc w:val="both"/>
        <w:rPr>
          <w:rFonts w:ascii="Segoe UI" w:hAnsi="Segoe UI" w:cs="Segoe UI"/>
          <w:sz w:val="24"/>
          <w:szCs w:val="24"/>
        </w:rPr>
      </w:pPr>
    </w:p>
    <w:p w14:paraId="2E293704" w14:textId="59964969" w:rsidR="002C73D0" w:rsidRDefault="00DB784C" w:rsidP="00DB784C">
      <w:pPr>
        <w:spacing w:after="120" w:line="240" w:lineRule="auto"/>
        <w:jc w:val="both"/>
        <w:rPr>
          <w:rFonts w:ascii="Segoe UI" w:hAnsi="Segoe UI" w:cs="Segoe UI"/>
          <w:sz w:val="24"/>
          <w:szCs w:val="24"/>
        </w:rPr>
      </w:pPr>
      <w:r w:rsidRPr="00DB784C">
        <w:rPr>
          <w:rFonts w:ascii="Segoe UI" w:hAnsi="Segoe UI" w:cs="Segoe UI"/>
          <w:sz w:val="24"/>
          <w:szCs w:val="24"/>
        </w:rPr>
        <w:t>Both female-headed and male-headed households respond to rising nutritious food prices by seeking cheaper alternatives, with 66.25% of female-headed and 57.73% of male-headed households adopting this strategy. Many also adjust their consumption patterns, with 51.25% of female-headed and 47.27% of male-headed households changing their eating habits. Notably, 27.5% of female-headed households grow food at home, compared to 35.91% of male-headed households, showing a more proactive approach among men. Additionally, 6.25% of female-headed households and 14.09% of male-headed households engage in bulk buying. These differences reflect varying coping strategies between household types.</w:t>
      </w:r>
      <w:r>
        <w:rPr>
          <w:rFonts w:ascii="Segoe UI" w:hAnsi="Segoe UI" w:cs="Segoe UI"/>
          <w:sz w:val="24"/>
          <w:szCs w:val="24"/>
        </w:rPr>
        <w:t xml:space="preserve"> These variations reflect differing levels of resource access and coping mechanisms between household types.</w:t>
      </w:r>
      <w:r w:rsidR="00D712AE" w:rsidRPr="00D712AE">
        <w:t xml:space="preserve"> </w:t>
      </w:r>
      <w:r w:rsidRPr="00DB784C">
        <w:rPr>
          <w:rFonts w:ascii="Segoe UI" w:hAnsi="Segoe UI" w:cs="Segoe UI"/>
          <w:sz w:val="24"/>
          <w:szCs w:val="24"/>
        </w:rPr>
        <w:t>Consistent with Brinkman (2020), Bai (2021), and Headey (2024), households often reduce dietary diversity and shift to cheaper, calorie-dense, nutrient-deficient foods such as oils and sugars</w:t>
      </w:r>
    </w:p>
    <w:p w14:paraId="45CCC582" w14:textId="77777777" w:rsidR="00D712AE" w:rsidRDefault="00D712AE">
      <w:pPr>
        <w:spacing w:after="120" w:line="240" w:lineRule="auto"/>
        <w:jc w:val="both"/>
        <w:rPr>
          <w:rFonts w:ascii="Segoe UI" w:hAnsi="Segoe UI" w:cs="Segoe UI"/>
          <w:sz w:val="24"/>
          <w:szCs w:val="24"/>
        </w:rPr>
      </w:pPr>
    </w:p>
    <w:p w14:paraId="7E306406" w14:textId="77777777" w:rsidR="002C73D0" w:rsidRDefault="00000000">
      <w:pPr>
        <w:pStyle w:val="NormalWeb"/>
        <w:spacing w:before="0" w:beforeAutospacing="0" w:after="120" w:afterAutospacing="0"/>
        <w:rPr>
          <w:rFonts w:ascii="Segoe UI" w:hAnsi="Segoe UI" w:cs="Segoe UI"/>
        </w:rPr>
      </w:pPr>
      <w:r>
        <w:rPr>
          <w:rFonts w:ascii="Segoe UI" w:hAnsi="Segoe UI" w:cs="Segoe UI"/>
        </w:rPr>
        <w:t>Table 21: Coping Strategies in Response to Nutritious Food Price Changes</w:t>
      </w:r>
    </w:p>
    <w:tbl>
      <w:tblPr>
        <w:tblW w:w="6494" w:type="dxa"/>
        <w:tblInd w:w="96" w:type="dxa"/>
        <w:tblLook w:val="04A0" w:firstRow="1" w:lastRow="0" w:firstColumn="1" w:lastColumn="0" w:noHBand="0" w:noVBand="1"/>
      </w:tblPr>
      <w:tblGrid>
        <w:gridCol w:w="4155"/>
        <w:gridCol w:w="1166"/>
        <w:gridCol w:w="1173"/>
      </w:tblGrid>
      <w:tr w:rsidR="002C73D0" w14:paraId="688ED9D0" w14:textId="77777777">
        <w:trPr>
          <w:trHeight w:val="289"/>
        </w:trPr>
        <w:tc>
          <w:tcPr>
            <w:tcW w:w="64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A36A3" w14:textId="77777777" w:rsidR="002C73D0" w:rsidRDefault="00000000">
            <w:pPr>
              <w:spacing w:after="0" w:line="240" w:lineRule="auto"/>
              <w:jc w:val="center"/>
              <w:textAlignment w:val="center"/>
              <w:rPr>
                <w:rFonts w:ascii="Segoe UI" w:hAnsi="Segoe UI" w:cs="Segoe UI"/>
                <w:color w:val="000000"/>
              </w:rPr>
            </w:pPr>
            <w:r>
              <w:rPr>
                <w:rFonts w:ascii="Segoe UI" w:eastAsia="SimSun" w:hAnsi="Segoe UI" w:cs="Segoe UI"/>
                <w:color w:val="000000"/>
                <w:lang w:val="en-US" w:eastAsia="zh-CN" w:bidi="ar"/>
              </w:rPr>
              <w:t>Coping strategies to changes of nutritious food prices</w:t>
            </w:r>
          </w:p>
        </w:tc>
      </w:tr>
      <w:tr w:rsidR="002C73D0" w14:paraId="11A7BFEE"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6EF28" w14:textId="77777777" w:rsidR="002C73D0" w:rsidRDefault="002C73D0">
            <w:pPr>
              <w:spacing w:after="0" w:line="240" w:lineRule="auto"/>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1AF43"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Females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DA676"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Males</w:t>
            </w:r>
          </w:p>
        </w:tc>
      </w:tr>
      <w:tr w:rsidR="002C73D0" w14:paraId="5BE08B29"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AD6BD" w14:textId="77777777" w:rsidR="002C73D0" w:rsidRDefault="00000000">
            <w:pPr>
              <w:spacing w:after="0" w:line="240" w:lineRule="auto"/>
              <w:textAlignment w:val="center"/>
              <w:rPr>
                <w:rFonts w:ascii="Segoe UI" w:hAnsi="Segoe UI" w:cs="Segoe UI"/>
                <w:color w:val="000000"/>
                <w:lang w:val="en-US" w:eastAsia="zh-CN"/>
              </w:rPr>
            </w:pPr>
            <w:r>
              <w:rPr>
                <w:rFonts w:ascii="Segoe UI" w:eastAsia="SimSun" w:hAnsi="Segoe UI" w:cs="Segoe UI"/>
                <w:color w:val="000000"/>
                <w:lang w:val="en-US" w:eastAsia="zh-CN" w:bidi="ar"/>
              </w:rPr>
              <w:t>Seeking cheaper sources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D0339"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60.07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19791"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63.24</w:t>
            </w:r>
          </w:p>
        </w:tc>
      </w:tr>
      <w:tr w:rsidR="002C73D0" w14:paraId="0FC3E4A0"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79CE7"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Meal planning and budgeting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B312B"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48.12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A2400"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50.99</w:t>
            </w:r>
          </w:p>
        </w:tc>
      </w:tr>
      <w:tr w:rsidR="002C73D0" w14:paraId="731381D6"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692AF"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Reducing food waste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62522"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38.23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B4FDC"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17.39</w:t>
            </w:r>
          </w:p>
        </w:tc>
      </w:tr>
      <w:tr w:rsidR="002C73D0" w14:paraId="1B53C166"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8E38E"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Adjusting Portion size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E9F52"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30.38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2D35F"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29.64</w:t>
            </w:r>
          </w:p>
        </w:tc>
      </w:tr>
      <w:tr w:rsidR="002C73D0" w14:paraId="4F1168F8"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F3061"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Growing fruits and vegetables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000A2"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22.87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14:paraId="46052962" w14:textId="77777777" w:rsidR="002C73D0" w:rsidRDefault="00000000">
            <w:pPr>
              <w:spacing w:after="0" w:line="240" w:lineRule="auto"/>
              <w:jc w:val="right"/>
              <w:textAlignment w:val="top"/>
              <w:rPr>
                <w:rFonts w:ascii="Segoe UI" w:hAnsi="Segoe UI" w:cs="Segoe UI"/>
                <w:color w:val="000000"/>
                <w:sz w:val="23"/>
                <w:szCs w:val="23"/>
              </w:rPr>
            </w:pPr>
            <w:r>
              <w:rPr>
                <w:rFonts w:ascii="Segoe UI" w:eastAsia="SimSun" w:hAnsi="Segoe UI" w:cs="Segoe UI"/>
                <w:color w:val="000000"/>
                <w:sz w:val="23"/>
                <w:szCs w:val="23"/>
                <w:lang w:val="en-US" w:eastAsia="zh-CN" w:bidi="ar"/>
              </w:rPr>
              <w:t>17</w:t>
            </w:r>
          </w:p>
        </w:tc>
      </w:tr>
      <w:tr w:rsidR="002C73D0" w14:paraId="6BC18616"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4E029"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Utilizing leftover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87E93"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19.45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14:paraId="622CCD01" w14:textId="77777777" w:rsidR="002C73D0" w:rsidRDefault="00000000">
            <w:pPr>
              <w:spacing w:after="0" w:line="240" w:lineRule="auto"/>
              <w:jc w:val="right"/>
              <w:textAlignment w:val="top"/>
              <w:rPr>
                <w:rFonts w:ascii="Segoe UI" w:hAnsi="Segoe UI" w:cs="Segoe UI"/>
                <w:color w:val="000000"/>
                <w:sz w:val="23"/>
                <w:szCs w:val="23"/>
              </w:rPr>
            </w:pPr>
            <w:r>
              <w:rPr>
                <w:rFonts w:ascii="Segoe UI" w:eastAsia="SimSun" w:hAnsi="Segoe UI" w:cs="Segoe UI"/>
                <w:color w:val="000000"/>
                <w:sz w:val="23"/>
                <w:szCs w:val="23"/>
                <w:lang w:val="en-US" w:eastAsia="zh-CN" w:bidi="ar"/>
              </w:rPr>
              <w:t>7.51</w:t>
            </w:r>
          </w:p>
        </w:tc>
      </w:tr>
      <w:tr w:rsidR="002C73D0" w14:paraId="622C954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1FB51"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Prioritizing cheaper staple food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3400C"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17.41</w:t>
            </w:r>
          </w:p>
        </w:tc>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CDC4F"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18.18</w:t>
            </w:r>
          </w:p>
        </w:tc>
      </w:tr>
      <w:tr w:rsidR="002C73D0" w14:paraId="7D0A0691"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75859"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Use food supplements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537D6"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3.75</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14:paraId="592BB6A0" w14:textId="77777777" w:rsidR="002C73D0" w:rsidRDefault="00000000">
            <w:pPr>
              <w:spacing w:after="0" w:line="240" w:lineRule="auto"/>
              <w:jc w:val="right"/>
              <w:textAlignment w:val="top"/>
              <w:rPr>
                <w:rFonts w:ascii="Segoe UI" w:hAnsi="Segoe UI" w:cs="Segoe UI"/>
                <w:color w:val="000000"/>
                <w:sz w:val="23"/>
                <w:szCs w:val="23"/>
              </w:rPr>
            </w:pPr>
            <w:r>
              <w:rPr>
                <w:rFonts w:ascii="Segoe UI" w:eastAsia="SimSun" w:hAnsi="Segoe UI" w:cs="Segoe UI"/>
                <w:color w:val="000000"/>
                <w:sz w:val="23"/>
                <w:szCs w:val="23"/>
                <w:lang w:val="en-US" w:eastAsia="zh-CN" w:bidi="ar"/>
              </w:rPr>
              <w:t>3.16</w:t>
            </w:r>
          </w:p>
        </w:tc>
      </w:tr>
      <w:tr w:rsidR="002C73D0" w14:paraId="253AFEB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ADED7"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Sharing resources with neighbours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3A2D1"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1.02</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14:paraId="19F9F50F" w14:textId="77777777" w:rsidR="002C73D0" w:rsidRDefault="00000000">
            <w:pPr>
              <w:spacing w:after="0" w:line="240" w:lineRule="auto"/>
              <w:jc w:val="right"/>
              <w:textAlignment w:val="top"/>
              <w:rPr>
                <w:rFonts w:ascii="Segoe UI" w:hAnsi="Segoe UI" w:cs="Segoe UI"/>
                <w:color w:val="000000"/>
                <w:sz w:val="23"/>
                <w:szCs w:val="23"/>
              </w:rPr>
            </w:pPr>
            <w:r>
              <w:rPr>
                <w:rFonts w:ascii="Segoe UI" w:eastAsia="SimSun" w:hAnsi="Segoe UI" w:cs="Segoe UI"/>
                <w:color w:val="000000"/>
                <w:sz w:val="23"/>
                <w:szCs w:val="23"/>
                <w:lang w:val="en-US" w:eastAsia="zh-CN" w:bidi="ar"/>
              </w:rPr>
              <w:t>0.79</w:t>
            </w:r>
          </w:p>
        </w:tc>
      </w:tr>
      <w:tr w:rsidR="002C73D0" w14:paraId="2432F35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A8A25"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Others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29B36"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1.02</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14:paraId="2229446E" w14:textId="77777777" w:rsidR="002C73D0" w:rsidRDefault="00000000">
            <w:pPr>
              <w:spacing w:after="0" w:line="240" w:lineRule="auto"/>
              <w:jc w:val="right"/>
              <w:textAlignment w:val="top"/>
              <w:rPr>
                <w:rFonts w:ascii="Segoe UI" w:hAnsi="Segoe UI" w:cs="Segoe UI"/>
                <w:color w:val="000000"/>
                <w:sz w:val="23"/>
                <w:szCs w:val="23"/>
              </w:rPr>
            </w:pPr>
            <w:r>
              <w:rPr>
                <w:rFonts w:ascii="Segoe UI" w:eastAsia="SimSun" w:hAnsi="Segoe UI" w:cs="Segoe UI"/>
                <w:color w:val="000000"/>
                <w:sz w:val="23"/>
                <w:szCs w:val="23"/>
                <w:lang w:val="en-US" w:eastAsia="zh-CN" w:bidi="ar"/>
              </w:rPr>
              <w:t>6.32</w:t>
            </w:r>
          </w:p>
        </w:tc>
      </w:tr>
    </w:tbl>
    <w:p w14:paraId="759F88F4" w14:textId="77777777" w:rsidR="00DB784C" w:rsidRDefault="00DB784C">
      <w:pPr>
        <w:spacing w:after="120" w:line="240" w:lineRule="auto"/>
        <w:jc w:val="both"/>
        <w:rPr>
          <w:rFonts w:ascii="Segoe UI" w:hAnsi="Segoe UI" w:cs="Segoe UI"/>
          <w:sz w:val="24"/>
          <w:szCs w:val="24"/>
        </w:rPr>
      </w:pPr>
    </w:p>
    <w:p w14:paraId="51AD75F1" w14:textId="758B21E0" w:rsidR="002C73D0" w:rsidRDefault="00000000">
      <w:pPr>
        <w:spacing w:after="120" w:line="240" w:lineRule="auto"/>
        <w:jc w:val="both"/>
        <w:rPr>
          <w:rFonts w:ascii="Segoe UI" w:hAnsi="Segoe UI" w:cs="Segoe UI"/>
          <w:sz w:val="24"/>
          <w:szCs w:val="24"/>
        </w:rPr>
      </w:pPr>
      <w:r>
        <w:rPr>
          <w:rFonts w:ascii="Segoe UI" w:hAnsi="Segoe UI" w:cs="Segoe UI"/>
          <w:sz w:val="24"/>
          <w:szCs w:val="24"/>
        </w:rPr>
        <w:t xml:space="preserve">The coping strategies employed by female-headed and male-headed households show notable differences. Both genders prioritize seeking cheaper sources, with 60.07% of females and 63.24% of males adopting this approach. Meal planning and budgeting are similarly emphasized, with 48.12% of females and 50.99% of males utilizing these strategies. However, significant disparities arise in reducing food waste, </w:t>
      </w:r>
      <w:r>
        <w:rPr>
          <w:rFonts w:ascii="Segoe UI" w:hAnsi="Segoe UI" w:cs="Segoe UI"/>
          <w:sz w:val="24"/>
          <w:szCs w:val="24"/>
        </w:rPr>
        <w:lastRenderedPageBreak/>
        <w:t>where 38.23% of females practice this compared to only 17.39% of males. Additionally, a higher proportion of females (22.87%) grow fruits and vegetables at home compared to males (17%), indicating that women may be more inclined to engage in sustainable practices to cope with rising food prices.</w:t>
      </w:r>
    </w:p>
    <w:p w14:paraId="6ACB9529" w14:textId="77777777" w:rsidR="00DB784C" w:rsidRDefault="00DB784C">
      <w:pPr>
        <w:spacing w:after="120" w:line="240" w:lineRule="auto"/>
        <w:jc w:val="both"/>
        <w:rPr>
          <w:rFonts w:ascii="Segoe UI" w:hAnsi="Segoe UI" w:cs="Segoe UI"/>
          <w:sz w:val="24"/>
          <w:szCs w:val="24"/>
        </w:rPr>
      </w:pPr>
    </w:p>
    <w:p w14:paraId="069280A3"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Table 22: Strategies to Enhance Consumption of Nutritious Food and Balanced Diet</w:t>
      </w:r>
    </w:p>
    <w:tbl>
      <w:tblPr>
        <w:tblW w:w="7193" w:type="dxa"/>
        <w:tblInd w:w="96" w:type="dxa"/>
        <w:tblLook w:val="04A0" w:firstRow="1" w:lastRow="0" w:firstColumn="1" w:lastColumn="0" w:noHBand="0" w:noVBand="1"/>
      </w:tblPr>
      <w:tblGrid>
        <w:gridCol w:w="3780"/>
        <w:gridCol w:w="1722"/>
        <w:gridCol w:w="1508"/>
        <w:gridCol w:w="739"/>
      </w:tblGrid>
      <w:tr w:rsidR="002C73D0" w14:paraId="4A94675D" w14:textId="77777777">
        <w:trPr>
          <w:trHeight w:val="288"/>
        </w:trPr>
        <w:tc>
          <w:tcPr>
            <w:tcW w:w="71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D97C6" w14:textId="77777777" w:rsidR="002C73D0" w:rsidRDefault="00000000">
            <w:pPr>
              <w:spacing w:after="0" w:line="240" w:lineRule="auto"/>
              <w:jc w:val="center"/>
              <w:textAlignment w:val="center"/>
              <w:rPr>
                <w:rFonts w:ascii="Segoe UI" w:hAnsi="Segoe UI" w:cs="Segoe UI"/>
                <w:color w:val="000000"/>
              </w:rPr>
            </w:pPr>
            <w:r>
              <w:rPr>
                <w:rFonts w:ascii="Segoe UI" w:eastAsia="SimSun" w:hAnsi="Segoe UI" w:cs="Segoe UI"/>
                <w:color w:val="000000"/>
                <w:lang w:val="en-US" w:eastAsia="zh-CN" w:bidi="ar"/>
              </w:rPr>
              <w:t>Ways to improve consumption of nutritious food and balanced diet</w:t>
            </w:r>
          </w:p>
        </w:tc>
      </w:tr>
      <w:tr w:rsidR="002C73D0" w14:paraId="0DD73727"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E2BDC" w14:textId="77777777" w:rsidR="002C73D0" w:rsidRDefault="002C73D0">
            <w:pPr>
              <w:spacing w:after="0" w:line="240" w:lineRule="auto"/>
              <w:rPr>
                <w:rFonts w:ascii="Segoe UI" w:hAnsi="Segoe UI" w:cs="Segoe U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55EED"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Female-headed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7994A"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Male-headed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09B00"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Total</w:t>
            </w:r>
          </w:p>
        </w:tc>
      </w:tr>
      <w:tr w:rsidR="002C73D0" w14:paraId="1A3D21CA"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B993B"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Meal planning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1989"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AAA4F"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50.91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47730"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50.67</w:t>
            </w:r>
          </w:p>
        </w:tc>
      </w:tr>
      <w:tr w:rsidR="002C73D0" w14:paraId="386AE14D"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60273"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More fruits and vegetables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8B4DE"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F803E"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52.73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78AF7"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53.33</w:t>
            </w:r>
          </w:p>
        </w:tc>
      </w:tr>
      <w:tr w:rsidR="002C73D0" w14:paraId="203A9ADC"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209F5" w14:textId="77777777" w:rsidR="002C73D0" w:rsidRDefault="00000000">
            <w:pPr>
              <w:spacing w:after="0" w:line="240" w:lineRule="auto"/>
              <w:textAlignment w:val="center"/>
              <w:rPr>
                <w:rFonts w:ascii="Segoe UI" w:hAnsi="Segoe UI" w:cs="Segoe UI"/>
                <w:color w:val="000000"/>
                <w:lang w:val="en-US" w:eastAsia="zh-CN"/>
              </w:rPr>
            </w:pPr>
            <w:r>
              <w:rPr>
                <w:rFonts w:ascii="Segoe UI" w:eastAsia="SimSun" w:hAnsi="Segoe UI" w:cs="Segoe UI"/>
                <w:color w:val="000000"/>
                <w:lang w:val="en-US" w:eastAsia="zh-CN" w:bidi="ar"/>
              </w:rPr>
              <w:t>Growing food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4E4AE"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28.75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5B79C"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1B1B1"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26</w:t>
            </w:r>
          </w:p>
        </w:tc>
      </w:tr>
      <w:tr w:rsidR="002C73D0" w14:paraId="1F476276"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3AF4F" w14:textId="77777777" w:rsidR="002C73D0" w:rsidRDefault="00000000">
            <w:pPr>
              <w:spacing w:after="0" w:line="240" w:lineRule="auto"/>
              <w:textAlignment w:val="center"/>
              <w:rPr>
                <w:rFonts w:ascii="Segoe UI" w:hAnsi="Segoe UI" w:cs="Segoe UI"/>
                <w:color w:val="000000"/>
                <w:lang w:val="en-US" w:eastAsia="zh-CN"/>
              </w:rPr>
            </w:pPr>
            <w:r>
              <w:rPr>
                <w:rFonts w:ascii="Segoe UI" w:eastAsia="SimSun" w:hAnsi="Segoe UI" w:cs="Segoe UI"/>
                <w:color w:val="000000"/>
                <w:lang w:val="en-US" w:eastAsia="zh-CN" w:bidi="ar"/>
              </w:rPr>
              <w:t xml:space="preserve">Eating meals together as a </w:t>
            </w:r>
            <w:r>
              <w:rPr>
                <w:rFonts w:ascii="Segoe UI" w:eastAsia="SimSun" w:hAnsi="Segoe UI" w:cs="Segoe UI"/>
                <w:color w:val="000000"/>
                <w:lang w:eastAsia="zh-CN" w:bidi="ar"/>
              </w:rPr>
              <w:t>family</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924D1"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27.5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64BD5"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32.73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7F60E"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31.33</w:t>
            </w:r>
          </w:p>
        </w:tc>
      </w:tr>
      <w:tr w:rsidR="002C73D0" w14:paraId="0D5F149A"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90783" w14:textId="6A436B8E" w:rsidR="002C73D0" w:rsidRDefault="00DB784C">
            <w:pPr>
              <w:spacing w:after="0" w:line="240" w:lineRule="auto"/>
              <w:textAlignment w:val="center"/>
              <w:rPr>
                <w:rFonts w:ascii="Segoe UI" w:hAnsi="Segoe UI" w:cs="Segoe UI"/>
                <w:color w:val="000000"/>
                <w:lang w:val="en-US" w:eastAsia="zh-CN"/>
              </w:rPr>
            </w:pPr>
            <w:r>
              <w:rPr>
                <w:rFonts w:ascii="Segoe UI" w:eastAsia="SimSun" w:hAnsi="Segoe UI" w:cs="Segoe UI"/>
                <w:color w:val="000000"/>
                <w:lang w:eastAsia="zh-CN" w:bidi="ar"/>
              </w:rPr>
              <w:t>Se</w:t>
            </w:r>
            <w:r>
              <w:rPr>
                <w:rFonts w:ascii="Segoe UI" w:eastAsia="SimSun" w:hAnsi="Segoe UI" w:cs="Segoe UI"/>
                <w:color w:val="000000"/>
                <w:lang w:val="en-US" w:eastAsia="zh-CN" w:bidi="ar"/>
              </w:rPr>
              <w:t xml:space="preserve">eking </w:t>
            </w:r>
            <w:r>
              <w:rPr>
                <w:rFonts w:ascii="Segoe UI" w:eastAsia="SimSun" w:hAnsi="Segoe UI" w:cs="Segoe UI"/>
                <w:color w:val="000000"/>
                <w:lang w:eastAsia="zh-CN" w:bidi="ar"/>
              </w:rPr>
              <w:t>nutritional</w:t>
            </w:r>
            <w:r>
              <w:rPr>
                <w:rFonts w:ascii="Segoe UI" w:eastAsia="SimSun" w:hAnsi="Segoe UI" w:cs="Segoe UI"/>
                <w:color w:val="000000"/>
                <w:lang w:val="en-US" w:eastAsia="zh-CN" w:bidi="ar"/>
              </w:rPr>
              <w:t xml:space="preserve"> </w:t>
            </w:r>
            <w:r>
              <w:rPr>
                <w:rFonts w:ascii="Segoe UI" w:eastAsia="SimSun" w:hAnsi="Segoe UI" w:cs="Segoe UI"/>
                <w:color w:val="000000"/>
                <w:lang w:eastAsia="zh-CN" w:bidi="ar"/>
              </w:rPr>
              <w:t>guidance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1DA5F"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23.75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347AC"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19788" w14:textId="77777777" w:rsidR="002C73D0" w:rsidRDefault="00000000">
            <w:pPr>
              <w:spacing w:after="0" w:line="240" w:lineRule="auto"/>
              <w:jc w:val="right"/>
              <w:textAlignment w:val="center"/>
              <w:rPr>
                <w:rFonts w:ascii="Segoe UI" w:hAnsi="Segoe UI" w:cs="Segoe UI"/>
                <w:color w:val="000000"/>
                <w:lang w:val="en-US" w:eastAsia="zh-CN"/>
              </w:rPr>
            </w:pPr>
            <w:r>
              <w:rPr>
                <w:rFonts w:ascii="Segoe UI" w:eastAsia="SimSun" w:hAnsi="Segoe UI" w:cs="Segoe UI"/>
                <w:color w:val="000000"/>
                <w:lang w:val="en-US" w:eastAsia="zh-CN" w:bidi="ar"/>
              </w:rPr>
              <w:t>15.33</w:t>
            </w:r>
          </w:p>
        </w:tc>
      </w:tr>
      <w:tr w:rsidR="002C73D0" w14:paraId="77C21162"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60368" w14:textId="77777777" w:rsidR="002C73D0" w:rsidRDefault="00000000">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 xml:space="preserve">Limiting </w:t>
            </w:r>
            <w:r>
              <w:rPr>
                <w:rFonts w:ascii="Segoe UI" w:eastAsia="SimSun" w:hAnsi="Segoe UI" w:cs="Segoe UI"/>
                <w:color w:val="000000"/>
                <w:lang w:eastAsia="zh-CN" w:bidi="ar"/>
              </w:rPr>
              <w:t>processed</w:t>
            </w:r>
            <w:r>
              <w:rPr>
                <w:rFonts w:ascii="Segoe UI" w:eastAsia="SimSun" w:hAnsi="Segoe UI" w:cs="Segoe UI"/>
                <w:color w:val="000000"/>
                <w:lang w:val="en-US" w:eastAsia="zh-CN" w:bidi="ar"/>
              </w:rPr>
              <w:t xml:space="preserve"> and sugary foods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D6DBE"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7FE5E"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19.55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64F04"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17.67</w:t>
            </w:r>
          </w:p>
        </w:tc>
      </w:tr>
      <w:tr w:rsidR="002C73D0" w14:paraId="6C524BA2"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1E0FF" w14:textId="376BA500" w:rsidR="002C73D0" w:rsidRDefault="00DB784C">
            <w:pPr>
              <w:spacing w:after="0" w:line="240" w:lineRule="auto"/>
              <w:textAlignment w:val="center"/>
              <w:rPr>
                <w:rFonts w:ascii="Segoe UI" w:hAnsi="Segoe UI" w:cs="Segoe UI"/>
                <w:color w:val="000000"/>
              </w:rPr>
            </w:pPr>
            <w:r>
              <w:rPr>
                <w:rFonts w:ascii="Segoe UI" w:eastAsia="SimSun" w:hAnsi="Segoe UI" w:cs="Segoe UI"/>
                <w:color w:val="000000"/>
                <w:lang w:val="en-US" w:eastAsia="zh-CN" w:bidi="ar"/>
              </w:rPr>
              <w:t xml:space="preserve">Cooking from </w:t>
            </w:r>
            <w:r>
              <w:rPr>
                <w:rFonts w:ascii="Segoe UI" w:eastAsia="SimSun" w:hAnsi="Segoe UI" w:cs="Segoe UI"/>
                <w:color w:val="000000"/>
                <w:lang w:eastAsia="zh-CN" w:bidi="ar"/>
              </w:rPr>
              <w:t>scratch</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19558"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B0A70"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C50BE" w14:textId="77777777" w:rsidR="002C73D0" w:rsidRDefault="00000000">
            <w:pPr>
              <w:spacing w:after="0" w:line="240" w:lineRule="auto"/>
              <w:jc w:val="right"/>
              <w:textAlignment w:val="center"/>
              <w:rPr>
                <w:rFonts w:ascii="Segoe UI" w:hAnsi="Segoe UI" w:cs="Segoe UI"/>
                <w:color w:val="000000"/>
              </w:rPr>
            </w:pPr>
            <w:r>
              <w:rPr>
                <w:rFonts w:ascii="Segoe UI" w:eastAsia="SimSun" w:hAnsi="Segoe UI" w:cs="Segoe UI"/>
                <w:color w:val="000000"/>
                <w:lang w:val="en-US" w:eastAsia="zh-CN" w:bidi="ar"/>
              </w:rPr>
              <w:t>10.67</w:t>
            </w:r>
          </w:p>
        </w:tc>
      </w:tr>
    </w:tbl>
    <w:p w14:paraId="7229BD59" w14:textId="77777777" w:rsidR="00DB784C" w:rsidRDefault="00DB784C">
      <w:pPr>
        <w:spacing w:after="120" w:line="240" w:lineRule="auto"/>
        <w:jc w:val="both"/>
        <w:rPr>
          <w:rFonts w:ascii="Segoe UI" w:hAnsi="Segoe UI" w:cs="Segoe UI"/>
          <w:sz w:val="24"/>
          <w:szCs w:val="24"/>
        </w:rPr>
      </w:pPr>
    </w:p>
    <w:p w14:paraId="2C2C720D" w14:textId="0455FF24" w:rsidR="002C73D0" w:rsidRDefault="00000000">
      <w:pPr>
        <w:spacing w:after="120" w:line="240" w:lineRule="auto"/>
        <w:jc w:val="both"/>
        <w:rPr>
          <w:rFonts w:ascii="Segoe UI" w:hAnsi="Segoe UI" w:cs="Segoe UI"/>
          <w:sz w:val="24"/>
          <w:szCs w:val="24"/>
        </w:rPr>
      </w:pPr>
      <w:r>
        <w:rPr>
          <w:rFonts w:ascii="Segoe UI" w:hAnsi="Segoe UI" w:cs="Segoe UI"/>
          <w:sz w:val="24"/>
          <w:szCs w:val="24"/>
        </w:rPr>
        <w:t>The data reveals that both female-headed (50%) and male-headed (50.91%) households prioritize meal planning equally as a strategy to improve nutritious food consumption. Notably, more female-headed households (55%) emphasize increasing fruits and vegetables compared to male-headed households (52.73%). Growing food at home is slightly favoured by female-headed households (28.75%) versus male-headed households (25%). Interestingly, a higher percentage of male-headed households (19.55%) advocate for limiting processed and sugary foods than their female counterparts (12.5%). Overall, these findings highlight commonalities and differences in approaches to enhancing dietary quality between household types.</w:t>
      </w:r>
    </w:p>
    <w:p w14:paraId="40201B4A" w14:textId="77777777" w:rsidR="002C73D0" w:rsidRDefault="002C73D0">
      <w:pPr>
        <w:spacing w:after="120" w:line="240" w:lineRule="auto"/>
        <w:jc w:val="both"/>
        <w:rPr>
          <w:rFonts w:ascii="Segoe UI" w:hAnsi="Segoe UI" w:cs="Segoe UI"/>
          <w:sz w:val="24"/>
          <w:szCs w:val="24"/>
        </w:rPr>
      </w:pPr>
    </w:p>
    <w:p w14:paraId="2AC3B310" w14:textId="77777777" w:rsidR="002C73D0" w:rsidRDefault="00000000">
      <w:pPr>
        <w:spacing w:after="120" w:line="240" w:lineRule="auto"/>
        <w:jc w:val="both"/>
        <w:rPr>
          <w:rFonts w:ascii="Segoe UI" w:hAnsi="Segoe UI" w:cs="Segoe UI"/>
          <w:sz w:val="24"/>
          <w:szCs w:val="24"/>
        </w:rPr>
      </w:pPr>
      <w:r>
        <w:rPr>
          <w:rFonts w:ascii="Segoe UI" w:hAnsi="Segoe UI" w:cs="Segoe UI"/>
          <w:sz w:val="24"/>
          <w:szCs w:val="24"/>
        </w:rPr>
        <w:t>The data reveals significant insights into how perceptions of food prices impact dietary choices across different household types. A majority of both female-headed (52.5%) and male-headed (45%) households perceive nutritious food as expensive, with no female-headed households considering these foods very affordable. This suggests that economic constraints are a substantial barrier to healthy eating, particularly for female-headed households, which may face more financial pressure overall.</w:t>
      </w:r>
    </w:p>
    <w:p w14:paraId="59CB4C28" w14:textId="77777777" w:rsidR="001A54A5" w:rsidRDefault="001A54A5">
      <w:pPr>
        <w:spacing w:after="120" w:line="240" w:lineRule="auto"/>
        <w:jc w:val="both"/>
        <w:rPr>
          <w:rFonts w:ascii="Segoe UI" w:hAnsi="Segoe UI" w:cs="Segoe UI"/>
          <w:sz w:val="24"/>
          <w:szCs w:val="24"/>
        </w:rPr>
      </w:pPr>
    </w:p>
    <w:p w14:paraId="6DCB20CC" w14:textId="3E08DFA9" w:rsidR="001A54A5" w:rsidRDefault="001A54A5" w:rsidP="001A54A5">
      <w:pPr>
        <w:pStyle w:val="Heading1"/>
        <w:numPr>
          <w:ilvl w:val="0"/>
          <w:numId w:val="1"/>
        </w:numPr>
        <w:spacing w:before="360" w:after="180" w:line="240" w:lineRule="auto"/>
        <w:rPr>
          <w:rFonts w:ascii="Segoe UI" w:hAnsi="Segoe UI" w:cs="Segoe UI"/>
          <w:color w:val="538135" w:themeColor="accent6" w:themeShade="BF"/>
          <w:sz w:val="32"/>
          <w:szCs w:val="32"/>
        </w:rPr>
      </w:pPr>
      <w:bookmarkStart w:id="6" w:name="_Hlk183670578"/>
      <w:r>
        <w:rPr>
          <w:rFonts w:ascii="Segoe UI" w:hAnsi="Segoe UI" w:cs="Segoe UI"/>
          <w:color w:val="538135" w:themeColor="accent6" w:themeShade="BF"/>
          <w:sz w:val="32"/>
          <w:szCs w:val="32"/>
        </w:rPr>
        <w:t>Discussion</w:t>
      </w:r>
    </w:p>
    <w:p w14:paraId="2E24A415" w14:textId="69DA1869" w:rsidR="001A54A5" w:rsidRPr="001A54A5" w:rsidRDefault="001A54A5" w:rsidP="001A54A5">
      <w:pPr>
        <w:spacing w:after="120" w:line="240" w:lineRule="auto"/>
        <w:jc w:val="both"/>
        <w:rPr>
          <w:rFonts w:ascii="Segoe UI" w:hAnsi="Segoe UI" w:cs="Segoe UI"/>
          <w:sz w:val="24"/>
          <w:szCs w:val="24"/>
        </w:rPr>
      </w:pPr>
      <w:r w:rsidRPr="001A54A5">
        <w:rPr>
          <w:rFonts w:ascii="Segoe UI" w:hAnsi="Segoe UI" w:cs="Segoe UI"/>
          <w:sz w:val="24"/>
          <w:szCs w:val="24"/>
        </w:rPr>
        <w:t xml:space="preserve">The study </w:t>
      </w:r>
      <w:r>
        <w:rPr>
          <w:rFonts w:ascii="Segoe UI" w:hAnsi="Segoe UI" w:cs="Segoe UI"/>
          <w:sz w:val="24"/>
          <w:szCs w:val="24"/>
        </w:rPr>
        <w:t xml:space="preserve">findings </w:t>
      </w:r>
      <w:r w:rsidR="00F10C29" w:rsidRPr="001A54A5">
        <w:rPr>
          <w:rFonts w:ascii="Segoe UI" w:hAnsi="Segoe UI" w:cs="Segoe UI"/>
          <w:sz w:val="24"/>
          <w:szCs w:val="24"/>
        </w:rPr>
        <w:t>highlight</w:t>
      </w:r>
      <w:r w:rsidRPr="001A54A5">
        <w:rPr>
          <w:rFonts w:ascii="Segoe UI" w:hAnsi="Segoe UI" w:cs="Segoe UI"/>
          <w:sz w:val="24"/>
          <w:szCs w:val="24"/>
        </w:rPr>
        <w:t xml:space="preserve"> critical factors influencing food consumption, nutrition training, and decision-making across gender lines. A significant gender difference was observed in nutrition training, with male-headed households receiving more training than female-headed ones. Specifically, 45.45% of male-headed households had access to nutrition education compared to 30% of female-headed households. Despite this, </w:t>
      </w:r>
      <w:r w:rsidRPr="001A54A5">
        <w:rPr>
          <w:rFonts w:ascii="Segoe UI" w:hAnsi="Segoe UI" w:cs="Segoe UI"/>
          <w:sz w:val="24"/>
          <w:szCs w:val="24"/>
        </w:rPr>
        <w:lastRenderedPageBreak/>
        <w:t>both groups recognized gender roles in the distribution of training, with females being the primary recipients due to their role as caregivers and meal preparers (Lundh, 2022). This trend aligns with previous findings by Li (2017) and Barak et al. (2021), who emphasized that women are typically the focus of nutrition education due to their caregiving responsibilities.</w:t>
      </w:r>
    </w:p>
    <w:p w14:paraId="6FFDDE2A" w14:textId="41D12642" w:rsidR="001A54A5" w:rsidRPr="001A54A5" w:rsidRDefault="001A54A5" w:rsidP="001A54A5">
      <w:pPr>
        <w:spacing w:after="120" w:line="240" w:lineRule="auto"/>
        <w:jc w:val="both"/>
        <w:rPr>
          <w:rFonts w:ascii="Segoe UI" w:hAnsi="Segoe UI" w:cs="Segoe UI"/>
          <w:sz w:val="24"/>
          <w:szCs w:val="24"/>
        </w:rPr>
      </w:pPr>
      <w:r w:rsidRPr="001A54A5">
        <w:rPr>
          <w:rFonts w:ascii="Segoe UI" w:hAnsi="Segoe UI" w:cs="Segoe UI"/>
          <w:sz w:val="24"/>
          <w:szCs w:val="24"/>
        </w:rPr>
        <w:t>The training's impact was evident in the increased consumption of fruits and vegetables. Female-headed households showed an 83.33% increase in fruit and vegetable intake, while male-headed households had a 75% increase. These results are consistent with Boeing et al. (2012), who found that higher fruit and vegetable consumption is linked to improved health. Privitera et al. (2018) noted that women are more likely to prioritize health over cost when purchasing these foods, even in the face of price hikes. Understanding nutritional labels also improved in both groups, though more so in male-headed households (19%) than female-headed ones (8.33%), supporting Grunert et al. (2010), who found that label knowledge fosters healthier eating habits. Moreover, healthier cooking methods were adopted, with a larger increase observed in male-headed households (20.97%) than female-headed ones (16.67%), highlighting the role of cooking methods in nutrient retention (Razzak et al., 2023). Additionally, there was a reduction in the consumption of processed foods and sugary drinks in both groups, with female-headed households showing a more significant decrease (41.67%) than male-headed ones (38.71%), which aligns with research indicating the health benefits of reducing processed foods (Monteiro et al., 2018).</w:t>
      </w:r>
    </w:p>
    <w:p w14:paraId="4A4B5B52" w14:textId="0FB57CFC" w:rsidR="001A54A5" w:rsidRPr="001A54A5" w:rsidRDefault="001A54A5" w:rsidP="001A54A5">
      <w:pPr>
        <w:spacing w:after="120" w:line="240" w:lineRule="auto"/>
        <w:jc w:val="both"/>
        <w:rPr>
          <w:rFonts w:ascii="Segoe UI" w:hAnsi="Segoe UI" w:cs="Segoe UI"/>
          <w:sz w:val="24"/>
          <w:szCs w:val="24"/>
        </w:rPr>
      </w:pPr>
      <w:r w:rsidRPr="001A54A5">
        <w:rPr>
          <w:rFonts w:ascii="Segoe UI" w:hAnsi="Segoe UI" w:cs="Segoe UI"/>
          <w:sz w:val="24"/>
          <w:szCs w:val="24"/>
        </w:rPr>
        <w:t>Regarding food budgeting and consumption decisions, women in female-headed households were primarily responsible for food management, while men assumed this role in male-headed households (Mohammed et al., 2023). However, female-headed households were less likely to set food budgets, which was more common in male-headed households, where joint decision-making was observed. These results emphasize that traditional gender roles still dominate food-related decision-making, which suggests that interventions targeting both men and women are necessary to promote equitable nutrition education, budgeting, and food security.</w:t>
      </w:r>
    </w:p>
    <w:p w14:paraId="0E08372D" w14:textId="314BBE52" w:rsidR="001A54A5" w:rsidRPr="001A54A5" w:rsidRDefault="001A54A5" w:rsidP="001A54A5">
      <w:pPr>
        <w:spacing w:after="120" w:line="240" w:lineRule="auto"/>
        <w:jc w:val="both"/>
        <w:rPr>
          <w:rFonts w:ascii="Segoe UI" w:hAnsi="Segoe UI" w:cs="Segoe UI"/>
          <w:sz w:val="24"/>
          <w:szCs w:val="24"/>
        </w:rPr>
      </w:pPr>
      <w:r w:rsidRPr="001A54A5">
        <w:rPr>
          <w:rFonts w:ascii="Segoe UI" w:hAnsi="Segoe UI" w:cs="Segoe UI"/>
          <w:sz w:val="24"/>
          <w:szCs w:val="24"/>
        </w:rPr>
        <w:t>Economic and social factors also played a significant role in the accessibility of nutritious food. Female-headed households faced greater challenges in accessing nutritious food due to income disparities. Many reported that nutritious food was "not very accessible," with the limited financial resources of female-headed households constraining their ability to purchase healthier options (Headey et al., 2024). These households tend to rely more heavily on periodic markets, which further exacerbates food insecurity, as noted by Pinto-Correia et al. (2019). Price was identified as the most influential factor in food purchasing, particularly for female-headed households, who must balance affordability with nutrition. This finding aligns with previous research indicating that lower-income households prioritize cost over health when purchasing food (Herforth et al., 2020; Hirvonen et al., 2019; Masters et al., 2018).</w:t>
      </w:r>
    </w:p>
    <w:p w14:paraId="73979ABC" w14:textId="11061476" w:rsidR="001A54A5" w:rsidRPr="001A54A5" w:rsidRDefault="001A54A5" w:rsidP="001A54A5">
      <w:pPr>
        <w:spacing w:after="120" w:line="240" w:lineRule="auto"/>
        <w:jc w:val="both"/>
        <w:rPr>
          <w:rFonts w:ascii="Segoe UI" w:hAnsi="Segoe UI" w:cs="Segoe UI"/>
          <w:sz w:val="24"/>
          <w:szCs w:val="24"/>
        </w:rPr>
      </w:pPr>
      <w:r w:rsidRPr="001A54A5">
        <w:rPr>
          <w:rFonts w:ascii="Segoe UI" w:hAnsi="Segoe UI" w:cs="Segoe UI"/>
          <w:sz w:val="24"/>
          <w:szCs w:val="24"/>
        </w:rPr>
        <w:lastRenderedPageBreak/>
        <w:t>The study also found that meal frequency and dietary diversity were lower in female-headed households. These households consumed fewer meals, often eating only one or two meals a day, which points to the broader issue of food insecurity. In contrast, male-headed households, which generally had better access to markets and higher incomes, consumed more balanced meals, aligning with findings from Ryckman et al. (2021) and Bai et al. (2021) that suggest higher-income households have better dietary habits. Proximity to markets was also a factor, though it was less significant than income and price, indicating that economic factors directly affect access to nutritious food (Kuai &amp; Zhao, 2017; Hu et al., 2020).</w:t>
      </w:r>
    </w:p>
    <w:p w14:paraId="26CA8F1E" w14:textId="0B3F68D5" w:rsidR="001A54A5" w:rsidRPr="001A54A5" w:rsidRDefault="001A54A5" w:rsidP="001A54A5">
      <w:pPr>
        <w:spacing w:after="120" w:line="240" w:lineRule="auto"/>
        <w:jc w:val="both"/>
        <w:rPr>
          <w:rFonts w:ascii="Segoe UI" w:hAnsi="Segoe UI" w:cs="Segoe UI"/>
          <w:sz w:val="24"/>
          <w:szCs w:val="24"/>
        </w:rPr>
      </w:pPr>
      <w:r w:rsidRPr="001A54A5">
        <w:rPr>
          <w:rFonts w:ascii="Segoe UI" w:hAnsi="Segoe UI" w:cs="Segoe UI"/>
          <w:sz w:val="24"/>
          <w:szCs w:val="24"/>
        </w:rPr>
        <w:t>Women's central role in food security within households is critical, especially in female-headed households, where they are often the primary decision-makers regarding food purchases and meal preparation. Their involvement in food management influences nutritional outcomes, especially regarding dietary diversity (Quisumbing &amp; Doss, 2021; Clement et al., 2019). However, despite their key role, female-headed households face significant barriers to achieving food security and balanced nutrition,</w:t>
      </w:r>
      <w:r>
        <w:rPr>
          <w:rFonts w:ascii="Segoe UI" w:hAnsi="Segoe UI" w:cs="Segoe UI"/>
          <w:sz w:val="24"/>
          <w:szCs w:val="24"/>
        </w:rPr>
        <w:t xml:space="preserve"> emphasizing</w:t>
      </w:r>
      <w:r w:rsidRPr="001A54A5">
        <w:rPr>
          <w:rFonts w:ascii="Segoe UI" w:hAnsi="Segoe UI" w:cs="Segoe UI"/>
          <w:sz w:val="24"/>
          <w:szCs w:val="24"/>
        </w:rPr>
        <w:t xml:space="preserve"> the need for interventions that address these gender-based disparities (Firoozzare et al., 2024).</w:t>
      </w:r>
    </w:p>
    <w:p w14:paraId="300D3DEB" w14:textId="4B78D0E2" w:rsidR="001A54A5" w:rsidRPr="001A54A5" w:rsidRDefault="001A54A5" w:rsidP="001A54A5">
      <w:pPr>
        <w:spacing w:after="120" w:line="240" w:lineRule="auto"/>
        <w:jc w:val="both"/>
        <w:rPr>
          <w:rFonts w:ascii="Segoe UI" w:hAnsi="Segoe UI" w:cs="Segoe UI"/>
          <w:sz w:val="24"/>
          <w:szCs w:val="24"/>
        </w:rPr>
      </w:pPr>
      <w:r w:rsidRPr="001A54A5">
        <w:rPr>
          <w:rFonts w:ascii="Segoe UI" w:hAnsi="Segoe UI" w:cs="Segoe UI"/>
          <w:sz w:val="24"/>
          <w:szCs w:val="24"/>
        </w:rPr>
        <w:t>The perceptions of food prices also highlight gender-based challenges. A large portion of both female-headed (52.5%) and male-headed (45%) households perceive nutritious foods as expensive, with none of the female-headed households viewing these foods as "very affordable." This perception mirrors earlier research, which identified food affordability as a major barrier to healthy eating (Raghunathan et al., 2021; Ryckman et al., 2021; Bai et al., 2021). The economic pressures on female-headed households were more pronounced, with 78.75% reporting fewer nutritious food purchases due to rising prices compared to 69.55% of male-headed households. This pattern is consistent with studies showing that economic pressures disproportionately affect female-headed households, leading to poorer dietary choices and potentially worse health outcomes (Compton et al., 2010; Kumar &amp; Quisumbing, 2013).</w:t>
      </w:r>
    </w:p>
    <w:p w14:paraId="1F7C7271" w14:textId="51F552DD" w:rsidR="001A54A5" w:rsidRPr="001A54A5" w:rsidRDefault="001A54A5" w:rsidP="001A54A5">
      <w:pPr>
        <w:spacing w:after="120" w:line="240" w:lineRule="auto"/>
        <w:jc w:val="both"/>
        <w:rPr>
          <w:rFonts w:ascii="Segoe UI" w:hAnsi="Segoe UI" w:cs="Segoe UI"/>
          <w:sz w:val="24"/>
          <w:szCs w:val="24"/>
        </w:rPr>
      </w:pPr>
      <w:r w:rsidRPr="001A54A5">
        <w:rPr>
          <w:rFonts w:ascii="Segoe UI" w:hAnsi="Segoe UI" w:cs="Segoe UI"/>
          <w:sz w:val="24"/>
          <w:szCs w:val="24"/>
        </w:rPr>
        <w:t>In response to rising food prices, households across both groups sought cheaper alternatives, but notable differences in coping strategies emerged. More male-headed households (35.91%) reported growing food at home compared to female-headed households (27.5%). This discrepancy suggests that male-headed households may have better access to resources or adopt more proactive coping strategies, as confirmed by previous studies (Brinkman, 2020; Bai, 2021; Headey, 2024). Both groups shifted consumption patterns towards less nutritious, calorie-dense foods, which could negatively impact health and dietary diversity, as noted by Brinkman et al. (2010) and Headey &amp; Alderman (2019).</w:t>
      </w:r>
    </w:p>
    <w:p w14:paraId="030F7A5D" w14:textId="4EAF5C7C" w:rsidR="001A54A5" w:rsidRPr="001A54A5" w:rsidRDefault="001A54A5" w:rsidP="001A54A5">
      <w:pPr>
        <w:spacing w:after="120" w:line="240" w:lineRule="auto"/>
        <w:jc w:val="both"/>
        <w:rPr>
          <w:rFonts w:ascii="Segoe UI" w:hAnsi="Segoe UI" w:cs="Segoe UI"/>
          <w:sz w:val="24"/>
          <w:szCs w:val="24"/>
        </w:rPr>
      </w:pPr>
      <w:r w:rsidRPr="001A54A5">
        <w:rPr>
          <w:rFonts w:ascii="Segoe UI" w:hAnsi="Segoe UI" w:cs="Segoe UI"/>
          <w:sz w:val="24"/>
          <w:szCs w:val="24"/>
        </w:rPr>
        <w:t xml:space="preserve">Gender disparities in food access and coping mechanisms further reflect broader socioeconomic dynamics. Research by Muhammad et al. (2017) and Privitera et al. (2018) highlights thatwomen, particularly in low-income households, are more affected by food price increases. Despite this, women tend to prioritize the purchase of nutritious foods, even when prices rise, reflecting their critical role in household </w:t>
      </w:r>
      <w:r w:rsidRPr="001A54A5">
        <w:rPr>
          <w:rFonts w:ascii="Segoe UI" w:hAnsi="Segoe UI" w:cs="Segoe UI"/>
          <w:sz w:val="24"/>
          <w:szCs w:val="24"/>
        </w:rPr>
        <w:lastRenderedPageBreak/>
        <w:t xml:space="preserve">nutrition. These findings </w:t>
      </w:r>
      <w:r>
        <w:rPr>
          <w:rFonts w:ascii="Segoe UI" w:hAnsi="Segoe UI" w:cs="Segoe UI"/>
          <w:sz w:val="24"/>
          <w:szCs w:val="24"/>
        </w:rPr>
        <w:t>stress</w:t>
      </w:r>
      <w:r w:rsidRPr="001A54A5">
        <w:rPr>
          <w:rFonts w:ascii="Segoe UI" w:hAnsi="Segoe UI" w:cs="Segoe UI"/>
          <w:sz w:val="24"/>
          <w:szCs w:val="24"/>
        </w:rPr>
        <w:t xml:space="preserve"> the need for policies that address food affordability, particularly for female-headed households, and emphasize the importance of financial and educational support to improve dietary quality.</w:t>
      </w:r>
    </w:p>
    <w:bookmarkEnd w:id="6"/>
    <w:p w14:paraId="327AC13E" w14:textId="77777777" w:rsidR="00DB784C" w:rsidRDefault="00DB784C">
      <w:pPr>
        <w:spacing w:after="120" w:line="240" w:lineRule="auto"/>
        <w:jc w:val="both"/>
        <w:rPr>
          <w:rFonts w:ascii="Segoe UI" w:hAnsi="Segoe UI" w:cs="Segoe UI"/>
          <w:sz w:val="24"/>
          <w:szCs w:val="24"/>
        </w:rPr>
      </w:pPr>
    </w:p>
    <w:p w14:paraId="2B213736" w14:textId="77777777" w:rsidR="002C73D0" w:rsidRDefault="00000000">
      <w:pPr>
        <w:pStyle w:val="Heading1"/>
        <w:numPr>
          <w:ilvl w:val="0"/>
          <w:numId w:val="1"/>
        </w:numPr>
        <w:spacing w:before="360" w:after="180" w:line="240" w:lineRule="auto"/>
        <w:rPr>
          <w:rFonts w:ascii="Segoe UI" w:hAnsi="Segoe UI" w:cs="Segoe UI"/>
          <w:color w:val="538135" w:themeColor="accent6" w:themeShade="BF"/>
          <w:sz w:val="32"/>
          <w:szCs w:val="32"/>
        </w:rPr>
      </w:pPr>
      <w:r>
        <w:rPr>
          <w:rFonts w:ascii="Segoe UI" w:hAnsi="Segoe UI" w:cs="Segoe UI"/>
          <w:color w:val="538135" w:themeColor="accent6" w:themeShade="BF"/>
          <w:sz w:val="32"/>
          <w:szCs w:val="32"/>
        </w:rPr>
        <w:t>Conclusions and Policy Implications</w:t>
      </w:r>
    </w:p>
    <w:p w14:paraId="5D6CE7CB" w14:textId="77777777" w:rsidR="00340D24" w:rsidRPr="00340D24" w:rsidRDefault="00340D24" w:rsidP="00340D24">
      <w:pPr>
        <w:spacing w:after="120" w:line="240" w:lineRule="auto"/>
        <w:jc w:val="both"/>
        <w:rPr>
          <w:rFonts w:ascii="Segoe UI" w:hAnsi="Segoe UI" w:cs="Segoe UI"/>
          <w:sz w:val="24"/>
          <w:szCs w:val="24"/>
        </w:rPr>
      </w:pPr>
      <w:r w:rsidRPr="00340D24">
        <w:rPr>
          <w:rFonts w:ascii="Segoe UI" w:hAnsi="Segoe UI" w:cs="Segoe UI"/>
          <w:sz w:val="24"/>
          <w:szCs w:val="24"/>
        </w:rPr>
        <w:t>This study highlights the significant gender disparities in nutritious food consumption and the factors influencing these patterns within Tanzanian households. Motivated by the growing concerns of food insecurity and gender inequalities, the research sheds light on the complex interplay between household decision-making, food affordability, and gender roles in food distribution. The data, collected through surveys, focus groups, and interviews, indicate that while both male- and female-headed households face challenges in accessing nutritious food, female-headed households experience more severe barriers, primarily due to lower incomes and greater economic pressures. Female-headed households were more likely to perceive nutritious food as unaffordable and, as a result, frequently opted for cheaper, less nutritious alternatives. Additionally, these households reported lower meal frequency and dietary diversity, pointing to the broader issue of food insecurity and limited access to healthy foods.</w:t>
      </w:r>
    </w:p>
    <w:p w14:paraId="7E722CCA" w14:textId="77777777" w:rsidR="00340D24" w:rsidRDefault="00340D24" w:rsidP="00340D24">
      <w:pPr>
        <w:spacing w:after="120" w:line="240" w:lineRule="auto"/>
        <w:jc w:val="both"/>
        <w:rPr>
          <w:rFonts w:ascii="Segoe UI" w:hAnsi="Segoe UI" w:cs="Segoe UI"/>
          <w:sz w:val="24"/>
          <w:szCs w:val="24"/>
        </w:rPr>
      </w:pPr>
      <w:r w:rsidRPr="00340D24">
        <w:rPr>
          <w:rFonts w:ascii="Segoe UI" w:hAnsi="Segoe UI" w:cs="Segoe UI"/>
          <w:sz w:val="24"/>
          <w:szCs w:val="24"/>
        </w:rPr>
        <w:t>Despite these challenges, female-headed households displayed a higher uptake of nutrition education, which positively influenced their consumption of fruits and vegetables, highlighting the importance of nutrition training. However, male-headed households showed greater engagement in budgeting and food management, underscoring the role of joint decision-making in ensuring better nutritional outcomes. The study emphasizes the need for targeted interventions that consider gendered barriers to food access, particularly for female-headed households, who play a critical role in managing household nutrition. Policies aimed at improving food affordability, enhancing market access, and promoting gender-sensitive nutrition education are essential to improving food security and health outcomes, particularly for marginalized groups. These findings contribute to the broader discourse on food security and gender equality, offering valuable insights for achieving the United Nations Sustainable Development Goals related to hunger and gender equality.</w:t>
      </w:r>
    </w:p>
    <w:p w14:paraId="4327E288" w14:textId="77777777" w:rsidR="002C73D0" w:rsidRDefault="002C73D0">
      <w:pPr>
        <w:tabs>
          <w:tab w:val="left" w:pos="2260"/>
        </w:tabs>
        <w:spacing w:after="120" w:line="240" w:lineRule="auto"/>
        <w:jc w:val="both"/>
        <w:rPr>
          <w:rFonts w:ascii="Segoe UI" w:hAnsi="Segoe UI" w:cs="Segoe UI"/>
          <w:b/>
          <w:sz w:val="24"/>
          <w:szCs w:val="24"/>
        </w:rPr>
      </w:pPr>
    </w:p>
    <w:p w14:paraId="6C2A52C5" w14:textId="77777777" w:rsidR="002C73D0" w:rsidRDefault="002C73D0">
      <w:pPr>
        <w:spacing w:after="120" w:line="240" w:lineRule="auto"/>
        <w:contextualSpacing/>
        <w:jc w:val="both"/>
        <w:rPr>
          <w:rFonts w:ascii="Segoe UI" w:eastAsia="Times New Roman" w:hAnsi="Segoe UI" w:cs="Segoe UI"/>
          <w:b/>
          <w:sz w:val="24"/>
          <w:szCs w:val="24"/>
        </w:rPr>
      </w:pPr>
    </w:p>
    <w:p w14:paraId="2EB647D4" w14:textId="77777777" w:rsidR="002C73D0" w:rsidRDefault="002C73D0">
      <w:pPr>
        <w:spacing w:after="120" w:line="240" w:lineRule="auto"/>
        <w:contextualSpacing/>
        <w:jc w:val="both"/>
        <w:rPr>
          <w:rFonts w:ascii="Segoe UI" w:eastAsia="Times New Roman" w:hAnsi="Segoe UI" w:cs="Segoe UI"/>
          <w:b/>
          <w:sz w:val="24"/>
          <w:szCs w:val="24"/>
        </w:rPr>
      </w:pPr>
    </w:p>
    <w:p w14:paraId="21EE5806" w14:textId="77777777" w:rsidR="002C73D0" w:rsidRDefault="002C73D0">
      <w:pPr>
        <w:spacing w:after="120" w:line="240" w:lineRule="auto"/>
        <w:contextualSpacing/>
        <w:jc w:val="both"/>
        <w:rPr>
          <w:rFonts w:ascii="Segoe UI" w:eastAsia="Times New Roman" w:hAnsi="Segoe UI" w:cs="Segoe UI"/>
          <w:b/>
          <w:sz w:val="24"/>
          <w:szCs w:val="24"/>
        </w:rPr>
      </w:pPr>
    </w:p>
    <w:p w14:paraId="4FB3A702" w14:textId="77777777" w:rsidR="002C73D0" w:rsidRDefault="002C73D0">
      <w:pPr>
        <w:spacing w:after="120" w:line="240" w:lineRule="auto"/>
        <w:contextualSpacing/>
        <w:jc w:val="both"/>
        <w:rPr>
          <w:rFonts w:ascii="Segoe UI" w:eastAsia="Times New Roman" w:hAnsi="Segoe UI" w:cs="Segoe UI"/>
          <w:b/>
          <w:sz w:val="24"/>
          <w:szCs w:val="24"/>
        </w:rPr>
      </w:pPr>
    </w:p>
    <w:p w14:paraId="3A1AE6D9" w14:textId="77777777" w:rsidR="002C73D0" w:rsidRDefault="002C73D0">
      <w:pPr>
        <w:spacing w:after="120" w:line="240" w:lineRule="auto"/>
        <w:contextualSpacing/>
        <w:jc w:val="both"/>
        <w:rPr>
          <w:rFonts w:ascii="Segoe UI" w:eastAsia="Times New Roman" w:hAnsi="Segoe UI" w:cs="Segoe UI"/>
          <w:b/>
          <w:sz w:val="24"/>
          <w:szCs w:val="24"/>
        </w:rPr>
      </w:pPr>
    </w:p>
    <w:p w14:paraId="3516D49F" w14:textId="77777777" w:rsidR="002C73D0" w:rsidRDefault="002C73D0">
      <w:pPr>
        <w:spacing w:after="120" w:line="240" w:lineRule="auto"/>
        <w:contextualSpacing/>
        <w:jc w:val="both"/>
        <w:rPr>
          <w:rFonts w:ascii="Segoe UI" w:eastAsia="Times New Roman" w:hAnsi="Segoe UI" w:cs="Segoe UI"/>
          <w:b/>
          <w:sz w:val="24"/>
          <w:szCs w:val="24"/>
        </w:rPr>
      </w:pPr>
    </w:p>
    <w:p w14:paraId="0541B3F2" w14:textId="55FF4F68" w:rsidR="000F6FEB" w:rsidRDefault="000F6FEB" w:rsidP="000F6FEB">
      <w:pPr>
        <w:pStyle w:val="Heading1"/>
        <w:spacing w:before="360" w:after="180" w:line="240" w:lineRule="auto"/>
        <w:rPr>
          <w:rFonts w:ascii="Segoe UI" w:hAnsi="Segoe UI" w:cs="Segoe UI"/>
          <w:color w:val="538135" w:themeColor="accent6" w:themeShade="BF"/>
          <w:sz w:val="32"/>
          <w:szCs w:val="32"/>
        </w:rPr>
      </w:pPr>
      <w:r>
        <w:rPr>
          <w:rFonts w:ascii="Segoe UI" w:hAnsi="Segoe UI" w:cs="Segoe UI"/>
          <w:color w:val="538135" w:themeColor="accent6" w:themeShade="BF"/>
          <w:sz w:val="32"/>
          <w:szCs w:val="32"/>
        </w:rPr>
        <w:lastRenderedPageBreak/>
        <w:t>References</w:t>
      </w:r>
    </w:p>
    <w:p w14:paraId="06603785" w14:textId="023FCB7A"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Aberman, N. L., &amp; Roopnaraine, T. (2020). To sell or consume? Gendered household decision-making on crop production, consumption, and sale in Malawi. </w:t>
      </w:r>
      <w:r w:rsidRPr="009824BD">
        <w:rPr>
          <w:rFonts w:ascii="Segoe UI" w:hAnsi="Segoe UI" w:cs="Segoe UI"/>
          <w:i/>
          <w:iCs/>
          <w:sz w:val="24"/>
          <w:szCs w:val="24"/>
        </w:rPr>
        <w:t>Food Security, 12</w:t>
      </w:r>
      <w:r w:rsidRPr="009824BD">
        <w:rPr>
          <w:rFonts w:ascii="Segoe UI" w:hAnsi="Segoe UI" w:cs="Segoe UI"/>
          <w:sz w:val="24"/>
          <w:szCs w:val="24"/>
        </w:rPr>
        <w:t xml:space="preserve">(2), 433-447. </w:t>
      </w:r>
      <w:hyperlink r:id="rId8" w:history="1">
        <w:r w:rsidRPr="009824BD">
          <w:rPr>
            <w:rStyle w:val="Hyperlink"/>
            <w:rFonts w:ascii="Segoe UI" w:hAnsi="Segoe UI" w:cs="Segoe UI"/>
            <w:sz w:val="24"/>
            <w:szCs w:val="24"/>
          </w:rPr>
          <w:t>https://doi.org/10.1007/s12571-020-01017-0</w:t>
        </w:r>
      </w:hyperlink>
    </w:p>
    <w:p w14:paraId="343E9021" w14:textId="71365AF0"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Alam, S. A., Liu, S. X., &amp; Pörtner, C. C. (2024). Navigating food price shocks in a pandemic: Food insecurity and coping mechanisms in Burkina Faso. </w:t>
      </w:r>
      <w:r w:rsidRPr="009824BD">
        <w:rPr>
          <w:rFonts w:ascii="Segoe UI" w:hAnsi="Segoe UI" w:cs="Segoe UI"/>
          <w:i/>
          <w:iCs/>
          <w:sz w:val="24"/>
          <w:szCs w:val="24"/>
        </w:rPr>
        <w:t>World Development, 182</w:t>
      </w:r>
      <w:r w:rsidRPr="009824BD">
        <w:rPr>
          <w:rFonts w:ascii="Segoe UI" w:hAnsi="Segoe UI" w:cs="Segoe UI"/>
          <w:sz w:val="24"/>
          <w:szCs w:val="24"/>
        </w:rPr>
        <w:t xml:space="preserve">, 106714. </w:t>
      </w:r>
      <w:hyperlink r:id="rId9" w:history="1">
        <w:r w:rsidRPr="009824BD">
          <w:rPr>
            <w:rStyle w:val="Hyperlink"/>
            <w:rFonts w:ascii="Segoe UI" w:hAnsi="Segoe UI" w:cs="Segoe UI"/>
            <w:sz w:val="24"/>
            <w:szCs w:val="24"/>
          </w:rPr>
          <w:t>https://doi.org/10.1016/j.worlddev.2024.106714</w:t>
        </w:r>
      </w:hyperlink>
    </w:p>
    <w:p w14:paraId="5F2C1F46" w14:textId="31597503"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Ameye, H., Bachewe, F. N., &amp; Minten, B. (2021). The rising price of nutritious foods: The case of Ethiopia. </w:t>
      </w:r>
      <w:r w:rsidRPr="009824BD">
        <w:rPr>
          <w:rFonts w:ascii="Segoe UI" w:hAnsi="Segoe UI" w:cs="Segoe UI"/>
          <w:i/>
          <w:iCs/>
          <w:sz w:val="24"/>
          <w:szCs w:val="24"/>
        </w:rPr>
        <w:t>Global Food Security, 31</w:t>
      </w:r>
      <w:r w:rsidRPr="009824BD">
        <w:rPr>
          <w:rFonts w:ascii="Segoe UI" w:hAnsi="Segoe UI" w:cs="Segoe UI"/>
          <w:sz w:val="24"/>
          <w:szCs w:val="24"/>
        </w:rPr>
        <w:t xml:space="preserve">, 100582. </w:t>
      </w:r>
      <w:hyperlink r:id="rId10" w:history="1">
        <w:r w:rsidRPr="009824BD">
          <w:rPr>
            <w:rStyle w:val="Hyperlink"/>
            <w:rFonts w:ascii="Segoe UI" w:hAnsi="Segoe UI" w:cs="Segoe UI"/>
            <w:sz w:val="24"/>
            <w:szCs w:val="24"/>
          </w:rPr>
          <w:t>https://doi.org/10.1016/j.gfs.2021.100582</w:t>
        </w:r>
      </w:hyperlink>
    </w:p>
    <w:p w14:paraId="3AB89FBD" w14:textId="159369FF"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Bai, Y., Alemu, R., Block, S. A., Headey, D., &amp; Masters, W. A. (2021). Cost and affordability of nutritious diets at retail prices: Evidence from 177 countries. </w:t>
      </w:r>
      <w:r w:rsidRPr="009824BD">
        <w:rPr>
          <w:rFonts w:ascii="Segoe UI" w:hAnsi="Segoe UI" w:cs="Segoe UI"/>
          <w:i/>
          <w:iCs/>
          <w:sz w:val="24"/>
          <w:szCs w:val="24"/>
        </w:rPr>
        <w:t>Food Policy, 99</w:t>
      </w:r>
      <w:r w:rsidRPr="009824BD">
        <w:rPr>
          <w:rFonts w:ascii="Segoe UI" w:hAnsi="Segoe UI" w:cs="Segoe UI"/>
          <w:sz w:val="24"/>
          <w:szCs w:val="24"/>
        </w:rPr>
        <w:t xml:space="preserve">, 101983. </w:t>
      </w:r>
      <w:hyperlink r:id="rId11" w:history="1">
        <w:r w:rsidRPr="009824BD">
          <w:rPr>
            <w:rStyle w:val="Hyperlink"/>
            <w:rFonts w:ascii="Segoe UI" w:hAnsi="Segoe UI" w:cs="Segoe UI"/>
            <w:sz w:val="24"/>
            <w:szCs w:val="24"/>
          </w:rPr>
          <w:t>https://doi.org/10.1016/j.foodpol.2020.101983</w:t>
        </w:r>
      </w:hyperlink>
    </w:p>
    <w:p w14:paraId="1F39D012" w14:textId="73135625"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Boeing, H., Bechthold, A., Bub, A., Ellinger, S., Haller, D., Kroke, A., ... &amp; Watzl, B. (2012). Critical review: Vegetables and fruit in the prevention of chronic diseases. </w:t>
      </w:r>
      <w:r w:rsidRPr="009824BD">
        <w:rPr>
          <w:rFonts w:ascii="Segoe UI" w:hAnsi="Segoe UI" w:cs="Segoe UI"/>
          <w:i/>
          <w:iCs/>
          <w:sz w:val="24"/>
          <w:szCs w:val="24"/>
        </w:rPr>
        <w:t>European Journal of Nutrition, 51</w:t>
      </w:r>
      <w:r w:rsidRPr="009824BD">
        <w:rPr>
          <w:rFonts w:ascii="Segoe UI" w:hAnsi="Segoe UI" w:cs="Segoe UI"/>
          <w:sz w:val="24"/>
          <w:szCs w:val="24"/>
        </w:rPr>
        <w:t xml:space="preserve">, 637-663. </w:t>
      </w:r>
      <w:hyperlink r:id="rId12" w:history="1">
        <w:r w:rsidRPr="009824BD">
          <w:rPr>
            <w:rStyle w:val="Hyperlink"/>
            <w:rFonts w:ascii="Segoe UI" w:hAnsi="Segoe UI" w:cs="Segoe UI"/>
            <w:sz w:val="24"/>
            <w:szCs w:val="24"/>
          </w:rPr>
          <w:t>https://doi.org/10.1007/s00394-012-0380-y</w:t>
        </w:r>
      </w:hyperlink>
    </w:p>
    <w:p w14:paraId="07F005C1" w14:textId="0CF89A14"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Brinkman, H. J., De Pee, S., Sanogo, I., Subran, L., &amp; Bloem, M. W. (2010). High food prices and the global financial crisis have reduced access to nutritious food and worsened nutritional status and health. </w:t>
      </w:r>
      <w:r w:rsidRPr="009824BD">
        <w:rPr>
          <w:rFonts w:ascii="Segoe UI" w:hAnsi="Segoe UI" w:cs="Segoe UI"/>
          <w:i/>
          <w:iCs/>
          <w:sz w:val="24"/>
          <w:szCs w:val="24"/>
        </w:rPr>
        <w:t>The Journal of Nutrition, 140</w:t>
      </w:r>
      <w:r w:rsidRPr="009824BD">
        <w:rPr>
          <w:rFonts w:ascii="Segoe UI" w:hAnsi="Segoe UI" w:cs="Segoe UI"/>
          <w:sz w:val="24"/>
          <w:szCs w:val="24"/>
        </w:rPr>
        <w:t xml:space="preserve">(1), 153S-161S. </w:t>
      </w:r>
      <w:hyperlink r:id="rId13" w:history="1">
        <w:r w:rsidRPr="009824BD">
          <w:rPr>
            <w:rStyle w:val="Hyperlink"/>
            <w:rFonts w:ascii="Segoe UI" w:hAnsi="Segoe UI" w:cs="Segoe UI"/>
            <w:sz w:val="24"/>
            <w:szCs w:val="24"/>
          </w:rPr>
          <w:t>https://doi.org/10.3945/jn.109.115824</w:t>
        </w:r>
      </w:hyperlink>
    </w:p>
    <w:p w14:paraId="1E196DF8" w14:textId="5F28791D"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Clement, F., Buisson, M. C., Leder, S., Balasubramanya, S., Saikia, P., Bastakoti, R., ... &amp; van Koppen, B. (2019). From women's empowerment to food security: Revisiting global discourses through a cross-country analysis. </w:t>
      </w:r>
      <w:r w:rsidRPr="009824BD">
        <w:rPr>
          <w:rFonts w:ascii="Segoe UI" w:hAnsi="Segoe UI" w:cs="Segoe UI"/>
          <w:i/>
          <w:iCs/>
          <w:sz w:val="24"/>
          <w:szCs w:val="24"/>
        </w:rPr>
        <w:t>Global Food Security, 23</w:t>
      </w:r>
      <w:r w:rsidRPr="009824BD">
        <w:rPr>
          <w:rFonts w:ascii="Segoe UI" w:hAnsi="Segoe UI" w:cs="Segoe UI"/>
          <w:sz w:val="24"/>
          <w:szCs w:val="24"/>
        </w:rPr>
        <w:t xml:space="preserve">, 160-172. </w:t>
      </w:r>
      <w:hyperlink r:id="rId14" w:history="1">
        <w:r w:rsidRPr="009824BD">
          <w:rPr>
            <w:rStyle w:val="Hyperlink"/>
            <w:rFonts w:ascii="Segoe UI" w:hAnsi="Segoe UI" w:cs="Segoe UI"/>
            <w:sz w:val="24"/>
            <w:szCs w:val="24"/>
          </w:rPr>
          <w:t>https://doi.org/10.1016/j.gfs.2019.06.002</w:t>
        </w:r>
      </w:hyperlink>
    </w:p>
    <w:p w14:paraId="509C870E" w14:textId="77777777" w:rsid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Compton, J., Wiggins, S., &amp; Keats, S. (2010). </w:t>
      </w:r>
      <w:r w:rsidRPr="009824BD">
        <w:rPr>
          <w:rFonts w:ascii="Segoe UI" w:hAnsi="Segoe UI" w:cs="Segoe UI"/>
          <w:i/>
          <w:iCs/>
          <w:sz w:val="24"/>
          <w:szCs w:val="24"/>
        </w:rPr>
        <w:t>Impact of the global food crisis on the poor: What is the evidence</w:t>
      </w:r>
      <w:r w:rsidRPr="009824BD">
        <w:rPr>
          <w:rFonts w:ascii="Segoe UI" w:hAnsi="Segoe UI" w:cs="Segoe UI"/>
          <w:sz w:val="24"/>
          <w:szCs w:val="24"/>
        </w:rPr>
        <w:t>. London: Overseas Development Institute.</w:t>
      </w:r>
    </w:p>
    <w:p w14:paraId="724EAAD6" w14:textId="161902F4" w:rsidR="009824BD" w:rsidRPr="009824BD" w:rsidRDefault="00741DF0" w:rsidP="009824BD">
      <w:pPr>
        <w:spacing w:after="120" w:line="240" w:lineRule="auto"/>
        <w:jc w:val="both"/>
        <w:rPr>
          <w:rFonts w:ascii="Segoe UI" w:hAnsi="Segoe UI" w:cs="Segoe UI"/>
          <w:sz w:val="24"/>
          <w:szCs w:val="24"/>
        </w:rPr>
      </w:pPr>
      <w:r>
        <w:rPr>
          <w:rFonts w:ascii="Segoe UI" w:hAnsi="Segoe UI" w:cs="Segoe UI"/>
          <w:sz w:val="24"/>
          <w:szCs w:val="24"/>
          <w:lang w:val="en-US"/>
        </w:rPr>
        <w:t>FAO [</w:t>
      </w:r>
      <w:r w:rsidR="009824BD" w:rsidRPr="009824BD">
        <w:rPr>
          <w:rFonts w:ascii="Segoe UI" w:hAnsi="Segoe UI" w:cs="Segoe UI"/>
          <w:sz w:val="24"/>
          <w:szCs w:val="24"/>
        </w:rPr>
        <w:t xml:space="preserve">Food and Agricultural Organisation]. (2023). </w:t>
      </w:r>
      <w:r w:rsidR="009824BD" w:rsidRPr="009824BD">
        <w:rPr>
          <w:rFonts w:ascii="Segoe UI" w:hAnsi="Segoe UI" w:cs="Segoe UI"/>
          <w:i/>
          <w:iCs/>
          <w:sz w:val="24"/>
          <w:szCs w:val="24"/>
        </w:rPr>
        <w:t>The State of Food Security and Nutrition in the World</w:t>
      </w:r>
      <w:r w:rsidR="009824BD" w:rsidRPr="009824BD">
        <w:rPr>
          <w:rFonts w:ascii="Segoe UI" w:hAnsi="Segoe UI" w:cs="Segoe UI"/>
          <w:sz w:val="24"/>
          <w:szCs w:val="24"/>
        </w:rPr>
        <w:t xml:space="preserve">. FAO, Rome. </w:t>
      </w:r>
      <w:hyperlink r:id="rId15" w:tgtFrame="_new" w:history="1">
        <w:r w:rsidR="009824BD" w:rsidRPr="009824BD">
          <w:rPr>
            <w:rStyle w:val="Hyperlink"/>
            <w:rFonts w:ascii="Segoe UI" w:hAnsi="Segoe UI" w:cs="Segoe UI"/>
            <w:sz w:val="24"/>
            <w:szCs w:val="24"/>
          </w:rPr>
          <w:t>https://openknowledge.fao.org/server/api/core/bitstreams/1f66b67b-1e45-45d1-b003-86162fd35dab/content</w:t>
        </w:r>
      </w:hyperlink>
    </w:p>
    <w:p w14:paraId="1FF5F443" w14:textId="4E17B1D4"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Firoozzare, A., Boccia, F., Yousefian, N., Ghazanfari, S., &amp; Pakook, S. (2024). Understanding the role of awareness and trust in consumer purchase decisions for healthy food and products. </w:t>
      </w:r>
      <w:r w:rsidRPr="009824BD">
        <w:rPr>
          <w:rFonts w:ascii="Segoe UI" w:hAnsi="Segoe UI" w:cs="Segoe UI"/>
          <w:i/>
          <w:iCs/>
          <w:sz w:val="24"/>
          <w:szCs w:val="24"/>
        </w:rPr>
        <w:t>Food Quality and Preference, 121</w:t>
      </w:r>
      <w:r w:rsidRPr="009824BD">
        <w:rPr>
          <w:rFonts w:ascii="Segoe UI" w:hAnsi="Segoe UI" w:cs="Segoe UI"/>
          <w:sz w:val="24"/>
          <w:szCs w:val="24"/>
        </w:rPr>
        <w:t xml:space="preserve">, 105275. </w:t>
      </w:r>
      <w:hyperlink r:id="rId16" w:history="1">
        <w:r w:rsidRPr="009824BD">
          <w:rPr>
            <w:rStyle w:val="Hyperlink"/>
            <w:rFonts w:ascii="Segoe UI" w:hAnsi="Segoe UI" w:cs="Segoe UI"/>
            <w:sz w:val="24"/>
            <w:szCs w:val="24"/>
          </w:rPr>
          <w:t>https://doi.org/10.1016/j.foodqual.2024.105275</w:t>
        </w:r>
      </w:hyperlink>
    </w:p>
    <w:p w14:paraId="39A86F74" w14:textId="60E6BDAE"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Grunert, K. G., Wills, J. M., &amp; Fernández-Celemín, L. (2010). Nutrition knowledge, and use and understanding of nutrition information on food labels among consumers in the UK. </w:t>
      </w:r>
      <w:r w:rsidRPr="009824BD">
        <w:rPr>
          <w:rFonts w:ascii="Segoe UI" w:hAnsi="Segoe UI" w:cs="Segoe UI"/>
          <w:i/>
          <w:iCs/>
          <w:sz w:val="24"/>
          <w:szCs w:val="24"/>
        </w:rPr>
        <w:t>Appetite, 55</w:t>
      </w:r>
      <w:r w:rsidRPr="009824BD">
        <w:rPr>
          <w:rFonts w:ascii="Segoe UI" w:hAnsi="Segoe UI" w:cs="Segoe UI"/>
          <w:sz w:val="24"/>
          <w:szCs w:val="24"/>
        </w:rPr>
        <w:t xml:space="preserve">(2), 177-189. </w:t>
      </w:r>
      <w:hyperlink r:id="rId17" w:history="1">
        <w:r w:rsidRPr="009824BD">
          <w:rPr>
            <w:rStyle w:val="Hyperlink"/>
            <w:rFonts w:ascii="Segoe UI" w:hAnsi="Segoe UI" w:cs="Segoe UI"/>
            <w:sz w:val="24"/>
            <w:szCs w:val="24"/>
          </w:rPr>
          <w:t>https://doi.org/10.1016/j.appet.2010.05.045</w:t>
        </w:r>
      </w:hyperlink>
    </w:p>
    <w:p w14:paraId="0DC88910" w14:textId="0BA1F373"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lastRenderedPageBreak/>
        <w:t xml:space="preserve">Guan, J., &amp; Wang, J. C. H. (2024). Food budget ratio as an equitable metric for food affordability and insecurity: A population-based cohort study of 121 remote Indigenous communities in Canada. </w:t>
      </w:r>
      <w:r w:rsidRPr="009824BD">
        <w:rPr>
          <w:rFonts w:ascii="Segoe UI" w:hAnsi="Segoe UI" w:cs="Segoe UI"/>
          <w:i/>
          <w:iCs/>
          <w:sz w:val="24"/>
          <w:szCs w:val="24"/>
        </w:rPr>
        <w:t>BMC Public Health, 24</w:t>
      </w:r>
      <w:r w:rsidRPr="009824BD">
        <w:rPr>
          <w:rFonts w:ascii="Segoe UI" w:hAnsi="Segoe UI" w:cs="Segoe UI"/>
          <w:sz w:val="24"/>
          <w:szCs w:val="24"/>
        </w:rPr>
        <w:t xml:space="preserve">(1), 289. </w:t>
      </w:r>
      <w:hyperlink r:id="rId18" w:history="1">
        <w:r w:rsidRPr="009824BD">
          <w:rPr>
            <w:rStyle w:val="Hyperlink"/>
            <w:rFonts w:ascii="Segoe UI" w:hAnsi="Segoe UI" w:cs="Segoe UI"/>
            <w:sz w:val="24"/>
            <w:szCs w:val="24"/>
          </w:rPr>
          <w:t>https://doi.org/10.1186/s12889-024-17690-3</w:t>
        </w:r>
      </w:hyperlink>
    </w:p>
    <w:p w14:paraId="613EEF12" w14:textId="7DD7BFE5"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Headey, D. D., &amp; Alderman, H. H. (2019). The relative caloric prices of healthy and unhealthy foods differ systematically across income levels and continents. </w:t>
      </w:r>
      <w:r w:rsidRPr="009824BD">
        <w:rPr>
          <w:rFonts w:ascii="Segoe UI" w:hAnsi="Segoe UI" w:cs="Segoe UI"/>
          <w:i/>
          <w:iCs/>
          <w:sz w:val="24"/>
          <w:szCs w:val="24"/>
        </w:rPr>
        <w:t>The Journal of Nutrition, 149</w:t>
      </w:r>
      <w:r w:rsidRPr="009824BD">
        <w:rPr>
          <w:rFonts w:ascii="Segoe UI" w:hAnsi="Segoe UI" w:cs="Segoe UI"/>
          <w:sz w:val="24"/>
          <w:szCs w:val="24"/>
        </w:rPr>
        <w:t xml:space="preserve">(11), 2020-2033. </w:t>
      </w:r>
      <w:hyperlink r:id="rId19" w:history="1">
        <w:r w:rsidRPr="009824BD">
          <w:rPr>
            <w:rStyle w:val="Hyperlink"/>
            <w:rFonts w:ascii="Segoe UI" w:hAnsi="Segoe UI" w:cs="Segoe UI"/>
            <w:sz w:val="24"/>
            <w:szCs w:val="24"/>
          </w:rPr>
          <w:t>https://doi.org/10.1093/jn/nxz199</w:t>
        </w:r>
      </w:hyperlink>
    </w:p>
    <w:p w14:paraId="46667196" w14:textId="77777777" w:rsidR="009824BD" w:rsidRPr="009824BD" w:rsidRDefault="009824BD" w:rsidP="009824BD">
      <w:pPr>
        <w:spacing w:after="120" w:line="240" w:lineRule="auto"/>
        <w:jc w:val="both"/>
        <w:rPr>
          <w:rFonts w:ascii="Segoe UI" w:hAnsi="Segoe UI" w:cs="Segoe UI"/>
          <w:sz w:val="24"/>
          <w:szCs w:val="24"/>
        </w:rPr>
      </w:pPr>
      <w:r w:rsidRPr="009824BD">
        <w:rPr>
          <w:rFonts w:ascii="Segoe UI" w:hAnsi="Segoe UI" w:cs="Segoe UI"/>
          <w:sz w:val="24"/>
          <w:szCs w:val="24"/>
        </w:rPr>
        <w:t xml:space="preserve">Headey, D. D., Hirvonen, K., Alderman, H., de Pee, S., &amp; Raghunathan, K. (2024). Diet affordability: Understanding the high cost of healthy diets. In </w:t>
      </w:r>
      <w:r w:rsidRPr="009824BD">
        <w:rPr>
          <w:rFonts w:ascii="Segoe UI" w:hAnsi="Segoe UI" w:cs="Segoe UI"/>
          <w:i/>
          <w:iCs/>
          <w:sz w:val="24"/>
          <w:szCs w:val="24"/>
        </w:rPr>
        <w:t>IFPRI Book Chapters</w:t>
      </w:r>
      <w:r w:rsidRPr="009824BD">
        <w:rPr>
          <w:rFonts w:ascii="Segoe UI" w:hAnsi="Segoe UI" w:cs="Segoe UI"/>
          <w:sz w:val="24"/>
          <w:szCs w:val="24"/>
        </w:rPr>
        <w:t xml:space="preserve"> (pp. 36-45).</w:t>
      </w:r>
    </w:p>
    <w:p w14:paraId="63205E7B" w14:textId="77777777" w:rsidR="009824BD" w:rsidRPr="009824BD" w:rsidRDefault="009824BD" w:rsidP="009824BD">
      <w:pPr>
        <w:spacing w:after="120" w:line="240" w:lineRule="auto"/>
        <w:jc w:val="both"/>
        <w:rPr>
          <w:rFonts w:ascii="Segoe UI" w:hAnsi="Segoe UI" w:cs="Segoe UI"/>
          <w:sz w:val="24"/>
          <w:szCs w:val="24"/>
        </w:rPr>
      </w:pPr>
      <w:r w:rsidRPr="009824BD">
        <w:rPr>
          <w:rFonts w:ascii="Segoe UI" w:hAnsi="Segoe UI" w:cs="Segoe UI"/>
          <w:sz w:val="24"/>
          <w:szCs w:val="24"/>
        </w:rPr>
        <w:t xml:space="preserve">Herforth, A., Bai, Y., Venkat, A., Mahrt, K., Ebel, A., &amp; Masters, W. A. (2020). Cost and affordability of healthy diets across and within countries: Background paper for The State of Food Security and Nutrition in the World 2020. </w:t>
      </w:r>
      <w:r w:rsidRPr="009824BD">
        <w:rPr>
          <w:rFonts w:ascii="Segoe UI" w:hAnsi="Segoe UI" w:cs="Segoe UI"/>
          <w:i/>
          <w:iCs/>
          <w:sz w:val="24"/>
          <w:szCs w:val="24"/>
        </w:rPr>
        <w:t>FAO Agricultural Development Economics Technical Study No. 9</w:t>
      </w:r>
      <w:r w:rsidRPr="009824BD">
        <w:rPr>
          <w:rFonts w:ascii="Segoe UI" w:hAnsi="Segoe UI" w:cs="Segoe UI"/>
          <w:sz w:val="24"/>
          <w:szCs w:val="24"/>
        </w:rPr>
        <w:t xml:space="preserve"> (Vol. 9). Food &amp; Agriculture Organization.</w:t>
      </w:r>
    </w:p>
    <w:p w14:paraId="6BD59076" w14:textId="1DEAC4DD" w:rsidR="009824BD" w:rsidRPr="00AE44A1" w:rsidRDefault="009824BD" w:rsidP="009824BD">
      <w:pPr>
        <w:spacing w:after="120" w:line="240" w:lineRule="auto"/>
        <w:jc w:val="both"/>
        <w:rPr>
          <w:rFonts w:ascii="Segoe UI" w:hAnsi="Segoe UI" w:cs="Segoe UI"/>
          <w:sz w:val="24"/>
          <w:szCs w:val="24"/>
          <w:lang w:val="de-DE"/>
        </w:rPr>
      </w:pPr>
      <w:r w:rsidRPr="009824BD">
        <w:rPr>
          <w:rFonts w:ascii="Segoe UI" w:hAnsi="Segoe UI" w:cs="Segoe UI"/>
          <w:sz w:val="24"/>
          <w:szCs w:val="24"/>
        </w:rPr>
        <w:t xml:space="preserve">Hirvonen, K., Bai, Y., Headey, D., et al. (2020). Affordability of the EAT–Lancet reference diet: A global analysis. </w:t>
      </w:r>
      <w:r w:rsidRPr="00AE44A1">
        <w:rPr>
          <w:rFonts w:ascii="Segoe UI" w:hAnsi="Segoe UI" w:cs="Segoe UI"/>
          <w:i/>
          <w:iCs/>
          <w:sz w:val="24"/>
          <w:szCs w:val="24"/>
          <w:lang w:val="de-DE"/>
        </w:rPr>
        <w:t>Lancet Global Health, 8</w:t>
      </w:r>
      <w:r w:rsidRPr="00AE44A1">
        <w:rPr>
          <w:rFonts w:ascii="Segoe UI" w:hAnsi="Segoe UI" w:cs="Segoe UI"/>
          <w:sz w:val="24"/>
          <w:szCs w:val="24"/>
          <w:lang w:val="de-DE"/>
        </w:rPr>
        <w:t xml:space="preserve">, e59–e66. </w:t>
      </w:r>
      <w:hyperlink r:id="rId20" w:history="1">
        <w:r w:rsidRPr="00AE44A1">
          <w:rPr>
            <w:rStyle w:val="Hyperlink"/>
            <w:rFonts w:ascii="Segoe UI" w:hAnsi="Segoe UI" w:cs="Segoe UI"/>
            <w:sz w:val="24"/>
            <w:szCs w:val="24"/>
            <w:lang w:val="de-DE"/>
          </w:rPr>
          <w:t>https://doi.org/10.1016/S2214-109X(20)30316-0</w:t>
        </w:r>
      </w:hyperlink>
    </w:p>
    <w:p w14:paraId="4994A2A1" w14:textId="7A5242A6" w:rsidR="009824BD" w:rsidRPr="009824BD" w:rsidRDefault="009824BD" w:rsidP="009824BD">
      <w:pPr>
        <w:spacing w:after="120" w:line="240" w:lineRule="auto"/>
        <w:jc w:val="both"/>
        <w:rPr>
          <w:rFonts w:ascii="Segoe UI" w:hAnsi="Segoe UI" w:cs="Segoe UI"/>
          <w:sz w:val="24"/>
          <w:szCs w:val="24"/>
          <w:lang w:val="en-US"/>
        </w:rPr>
      </w:pPr>
      <w:r w:rsidRPr="00AE44A1">
        <w:rPr>
          <w:rFonts w:ascii="Segoe UI" w:hAnsi="Segoe UI" w:cs="Segoe UI"/>
          <w:sz w:val="24"/>
          <w:szCs w:val="24"/>
          <w:lang w:val="de-DE"/>
        </w:rPr>
        <w:t xml:space="preserve">Hu, L., Zhao, C., Wang, M., Su, S., Weng, M., &amp; Wang, W. (2020). </w:t>
      </w:r>
      <w:r w:rsidRPr="009824BD">
        <w:rPr>
          <w:rFonts w:ascii="Segoe UI" w:hAnsi="Segoe UI" w:cs="Segoe UI"/>
          <w:sz w:val="24"/>
          <w:szCs w:val="24"/>
        </w:rPr>
        <w:t xml:space="preserve">Dynamic healthy food accessibility in a rapidly urbanizing metropolitan area: Socioeconomic inequality and relative contribution of local factors. </w:t>
      </w:r>
      <w:r w:rsidRPr="009824BD">
        <w:rPr>
          <w:rFonts w:ascii="Segoe UI" w:hAnsi="Segoe UI" w:cs="Segoe UI"/>
          <w:i/>
          <w:iCs/>
          <w:sz w:val="24"/>
          <w:szCs w:val="24"/>
        </w:rPr>
        <w:t>Cities, 105</w:t>
      </w:r>
      <w:r w:rsidRPr="009824BD">
        <w:rPr>
          <w:rFonts w:ascii="Segoe UI" w:hAnsi="Segoe UI" w:cs="Segoe UI"/>
          <w:sz w:val="24"/>
          <w:szCs w:val="24"/>
        </w:rPr>
        <w:t xml:space="preserve">, 102819. </w:t>
      </w:r>
      <w:hyperlink r:id="rId21" w:history="1">
        <w:r w:rsidRPr="009824BD">
          <w:rPr>
            <w:rStyle w:val="Hyperlink"/>
            <w:rFonts w:ascii="Segoe UI" w:hAnsi="Segoe UI" w:cs="Segoe UI"/>
            <w:sz w:val="24"/>
            <w:szCs w:val="24"/>
          </w:rPr>
          <w:t>https://doi.org/10.1016/j.cities.2020.102819</w:t>
        </w:r>
      </w:hyperlink>
    </w:p>
    <w:p w14:paraId="55B1D803" w14:textId="03737975"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Kuai, X., &amp; Zhao, Q. (2017). Examining healthy food accessibility and disparity in Baton Rouge, Louisiana. </w:t>
      </w:r>
      <w:r w:rsidRPr="009824BD">
        <w:rPr>
          <w:rFonts w:ascii="Segoe UI" w:hAnsi="Segoe UI" w:cs="Segoe UI"/>
          <w:i/>
          <w:iCs/>
          <w:sz w:val="24"/>
          <w:szCs w:val="24"/>
        </w:rPr>
        <w:t>Annals of GIS, 23</w:t>
      </w:r>
      <w:r w:rsidRPr="009824BD">
        <w:rPr>
          <w:rFonts w:ascii="Segoe UI" w:hAnsi="Segoe UI" w:cs="Segoe UI"/>
          <w:sz w:val="24"/>
          <w:szCs w:val="24"/>
        </w:rPr>
        <w:t xml:space="preserve">(2), 103-116. </w:t>
      </w:r>
      <w:hyperlink r:id="rId22" w:history="1">
        <w:r w:rsidRPr="009824BD">
          <w:rPr>
            <w:rStyle w:val="Hyperlink"/>
            <w:rFonts w:ascii="Segoe UI" w:hAnsi="Segoe UI" w:cs="Segoe UI"/>
            <w:sz w:val="24"/>
            <w:szCs w:val="24"/>
          </w:rPr>
          <w:t>https://doi.org/10.1080/19475683.2017.1372617</w:t>
        </w:r>
      </w:hyperlink>
    </w:p>
    <w:p w14:paraId="22B8CDC6" w14:textId="23ABA27B"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Kumar, N., &amp; Quisumbing, A. R. (2013). Gendered impacts of the 2007–2008 food price crisis: Evidence using panel data from rural Ethiopia. </w:t>
      </w:r>
      <w:r w:rsidRPr="009824BD">
        <w:rPr>
          <w:rFonts w:ascii="Segoe UI" w:hAnsi="Segoe UI" w:cs="Segoe UI"/>
          <w:i/>
          <w:iCs/>
          <w:sz w:val="24"/>
          <w:szCs w:val="24"/>
        </w:rPr>
        <w:t>Food Policy, 38</w:t>
      </w:r>
      <w:r w:rsidRPr="009824BD">
        <w:rPr>
          <w:rFonts w:ascii="Segoe UI" w:hAnsi="Segoe UI" w:cs="Segoe UI"/>
          <w:sz w:val="24"/>
          <w:szCs w:val="24"/>
        </w:rPr>
        <w:t xml:space="preserve">, 11-22. </w:t>
      </w:r>
      <w:hyperlink r:id="rId23" w:history="1">
        <w:r w:rsidRPr="009824BD">
          <w:rPr>
            <w:rStyle w:val="Hyperlink"/>
            <w:rFonts w:ascii="Segoe UI" w:hAnsi="Segoe UI" w:cs="Segoe UI"/>
            <w:sz w:val="24"/>
            <w:szCs w:val="24"/>
          </w:rPr>
          <w:t>https://doi.org/10.1016/j.foodpol.2012.11.004</w:t>
        </w:r>
      </w:hyperlink>
    </w:p>
    <w:p w14:paraId="6A51B0D6" w14:textId="77777777" w:rsidR="009824BD" w:rsidRPr="009824BD" w:rsidRDefault="009824BD" w:rsidP="009824BD">
      <w:pPr>
        <w:spacing w:after="120" w:line="240" w:lineRule="auto"/>
        <w:jc w:val="both"/>
        <w:rPr>
          <w:rFonts w:ascii="Segoe UI" w:hAnsi="Segoe UI" w:cs="Segoe UI"/>
          <w:sz w:val="24"/>
          <w:szCs w:val="24"/>
        </w:rPr>
      </w:pPr>
      <w:r w:rsidRPr="009824BD">
        <w:rPr>
          <w:rFonts w:ascii="Segoe UI" w:hAnsi="Segoe UI" w:cs="Segoe UI"/>
          <w:sz w:val="24"/>
          <w:szCs w:val="24"/>
        </w:rPr>
        <w:t xml:space="preserve">Li, C. P. (2017). Gender differences in nutrition knowledge, attitude, and practice among elderly people. </w:t>
      </w:r>
      <w:r w:rsidRPr="009824BD">
        <w:rPr>
          <w:rFonts w:ascii="Segoe UI" w:hAnsi="Segoe UI" w:cs="Segoe UI"/>
          <w:i/>
          <w:iCs/>
          <w:sz w:val="24"/>
          <w:szCs w:val="24"/>
        </w:rPr>
        <w:t>International Journal of Management, Economics and Social Sciences (IJMESS), 6</w:t>
      </w:r>
      <w:r w:rsidRPr="009824BD">
        <w:rPr>
          <w:rFonts w:ascii="Segoe UI" w:hAnsi="Segoe UI" w:cs="Segoe UI"/>
          <w:sz w:val="24"/>
          <w:szCs w:val="24"/>
        </w:rPr>
        <w:t>(Special Issue), 199-211.</w:t>
      </w:r>
    </w:p>
    <w:p w14:paraId="5AF9FC2C" w14:textId="77777777" w:rsidR="009824BD" w:rsidRPr="009824BD" w:rsidRDefault="009824BD" w:rsidP="009824BD">
      <w:pPr>
        <w:spacing w:after="120" w:line="240" w:lineRule="auto"/>
        <w:jc w:val="both"/>
        <w:rPr>
          <w:rFonts w:ascii="Segoe UI" w:hAnsi="Segoe UI" w:cs="Segoe UI"/>
          <w:sz w:val="24"/>
          <w:szCs w:val="24"/>
        </w:rPr>
      </w:pPr>
      <w:r w:rsidRPr="009824BD">
        <w:rPr>
          <w:rFonts w:ascii="Segoe UI" w:hAnsi="Segoe UI" w:cs="Segoe UI"/>
          <w:sz w:val="24"/>
          <w:szCs w:val="24"/>
        </w:rPr>
        <w:t>Lundh, O. (2022). Gender roles in households: A case study on gender roles in households in northern Tanzania.</w:t>
      </w:r>
    </w:p>
    <w:p w14:paraId="59EFE44D" w14:textId="1CBECBC5"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Masters, W. A., Bai, Y., Herforth, A., Sarpong, D. B., Mishili, F., Kinabo, J., &amp; Coates, J. C. (2018). Measuring the affordability of nutritious diets in Africa: Price indexes for diet diversity and the cost of nutrient adequacy. </w:t>
      </w:r>
      <w:r w:rsidRPr="009824BD">
        <w:rPr>
          <w:rFonts w:ascii="Segoe UI" w:hAnsi="Segoe UI" w:cs="Segoe UI"/>
          <w:i/>
          <w:iCs/>
          <w:sz w:val="24"/>
          <w:szCs w:val="24"/>
        </w:rPr>
        <w:t>Food Policy, 78</w:t>
      </w:r>
      <w:r w:rsidRPr="009824BD">
        <w:rPr>
          <w:rFonts w:ascii="Segoe UI" w:hAnsi="Segoe UI" w:cs="Segoe UI"/>
          <w:sz w:val="24"/>
          <w:szCs w:val="24"/>
        </w:rPr>
        <w:t xml:space="preserve">, 6-19. </w:t>
      </w:r>
      <w:hyperlink r:id="rId24" w:history="1">
        <w:r w:rsidRPr="009824BD">
          <w:rPr>
            <w:rStyle w:val="Hyperlink"/>
            <w:rFonts w:ascii="Segoe UI" w:hAnsi="Segoe UI" w:cs="Segoe UI"/>
            <w:sz w:val="24"/>
            <w:szCs w:val="24"/>
          </w:rPr>
          <w:t>https://doi.org/10.1016/j.foodpol.2018.06.010</w:t>
        </w:r>
      </w:hyperlink>
    </w:p>
    <w:p w14:paraId="6A084279" w14:textId="59BCDA6E"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Mohammed, K., Batung, E., Kansanga, M., Nyantakyi-Frimpong, H., &amp; Luginaah, I. (2023). Does joint agricultural decision-making improve food security among </w:t>
      </w:r>
      <w:r w:rsidRPr="009824BD">
        <w:rPr>
          <w:rFonts w:ascii="Segoe UI" w:hAnsi="Segoe UI" w:cs="Segoe UI"/>
          <w:sz w:val="24"/>
          <w:szCs w:val="24"/>
        </w:rPr>
        <w:lastRenderedPageBreak/>
        <w:t xml:space="preserve">smallholder farmers? </w:t>
      </w:r>
      <w:r w:rsidRPr="009824BD">
        <w:rPr>
          <w:rFonts w:ascii="Segoe UI" w:hAnsi="Segoe UI" w:cs="Segoe UI"/>
          <w:i/>
          <w:iCs/>
          <w:sz w:val="24"/>
          <w:szCs w:val="24"/>
        </w:rPr>
        <w:t>African Geographical Review, 42</w:t>
      </w:r>
      <w:r w:rsidRPr="009824BD">
        <w:rPr>
          <w:rFonts w:ascii="Segoe UI" w:hAnsi="Segoe UI" w:cs="Segoe UI"/>
          <w:sz w:val="24"/>
          <w:szCs w:val="24"/>
        </w:rPr>
        <w:t xml:space="preserve">(3), 391-410. </w:t>
      </w:r>
      <w:hyperlink r:id="rId25" w:history="1">
        <w:r w:rsidRPr="009824BD">
          <w:rPr>
            <w:rStyle w:val="Hyperlink"/>
            <w:rFonts w:ascii="Segoe UI" w:hAnsi="Segoe UI" w:cs="Segoe UI"/>
            <w:sz w:val="24"/>
            <w:szCs w:val="24"/>
          </w:rPr>
          <w:t>https://doi.org/10.1080/19376812.2023.2174564</w:t>
        </w:r>
      </w:hyperlink>
    </w:p>
    <w:p w14:paraId="59EAFB1D" w14:textId="44C6C754"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Monteiro, C. A., Moubarac, J. C., Levy, R. B., Canella, D. S., da Costa Louzada, M. L., &amp; Cannon, G. (2018). Household availability of ultra-processed foods and obesity in nineteen European countries. </w:t>
      </w:r>
      <w:r w:rsidRPr="009824BD">
        <w:rPr>
          <w:rFonts w:ascii="Segoe UI" w:hAnsi="Segoe UI" w:cs="Segoe UI"/>
          <w:i/>
          <w:iCs/>
          <w:sz w:val="24"/>
          <w:szCs w:val="24"/>
        </w:rPr>
        <w:t>Public Health Nutrition, 21</w:t>
      </w:r>
      <w:r w:rsidRPr="009824BD">
        <w:rPr>
          <w:rFonts w:ascii="Segoe UI" w:hAnsi="Segoe UI" w:cs="Segoe UI"/>
          <w:sz w:val="24"/>
          <w:szCs w:val="24"/>
        </w:rPr>
        <w:t xml:space="preserve">(1), 18-26. </w:t>
      </w:r>
      <w:hyperlink r:id="rId26" w:history="1">
        <w:r w:rsidRPr="009824BD">
          <w:rPr>
            <w:rStyle w:val="Hyperlink"/>
            <w:rFonts w:ascii="Segoe UI" w:hAnsi="Segoe UI" w:cs="Segoe UI"/>
            <w:sz w:val="24"/>
            <w:szCs w:val="24"/>
          </w:rPr>
          <w:t>https://doi.org/10.1017/S1368980017002473</w:t>
        </w:r>
      </w:hyperlink>
    </w:p>
    <w:p w14:paraId="26B07B9A" w14:textId="2621FAA3"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Muhammad, A., D’Souza, A., Meade, B., Micha, R., &amp; Mozaffarian, D. (2017). The influence of income and prices on global dietary patterns by country, age, and gender. </w:t>
      </w:r>
      <w:r w:rsidRPr="009824BD">
        <w:rPr>
          <w:rFonts w:ascii="Segoe UI" w:hAnsi="Segoe UI" w:cs="Segoe UI"/>
          <w:i/>
          <w:iCs/>
          <w:sz w:val="24"/>
          <w:szCs w:val="24"/>
        </w:rPr>
        <w:t>The Lancet Global Health, 5</w:t>
      </w:r>
      <w:r w:rsidRPr="009824BD">
        <w:rPr>
          <w:rFonts w:ascii="Segoe UI" w:hAnsi="Segoe UI" w:cs="Segoe UI"/>
          <w:sz w:val="24"/>
          <w:szCs w:val="24"/>
        </w:rPr>
        <w:t xml:space="preserve">(8), e767–e774. </w:t>
      </w:r>
      <w:hyperlink r:id="rId27" w:history="1">
        <w:r w:rsidRPr="009824BD">
          <w:rPr>
            <w:rStyle w:val="Hyperlink"/>
            <w:rFonts w:ascii="Segoe UI" w:hAnsi="Segoe UI" w:cs="Segoe UI"/>
            <w:sz w:val="24"/>
            <w:szCs w:val="24"/>
          </w:rPr>
          <w:t>https://doi.org/10.1016/S2214-109X(17)30204-0</w:t>
        </w:r>
      </w:hyperlink>
    </w:p>
    <w:p w14:paraId="5B828448" w14:textId="0E9EA85E"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Pinto-Correia, T., Rivera, M., Guarín, A., Grivins, M., Tisenkopfs, T., &amp; Hernández, P. A. (2021). Unseen food: The importance of extra-market small farm's production for rural households in Europe. </w:t>
      </w:r>
      <w:r w:rsidRPr="009824BD">
        <w:rPr>
          <w:rFonts w:ascii="Segoe UI" w:hAnsi="Segoe UI" w:cs="Segoe UI"/>
          <w:i/>
          <w:iCs/>
          <w:sz w:val="24"/>
          <w:szCs w:val="24"/>
        </w:rPr>
        <w:t>Global Food Security, 30</w:t>
      </w:r>
      <w:r w:rsidRPr="009824BD">
        <w:rPr>
          <w:rFonts w:ascii="Segoe UI" w:hAnsi="Segoe UI" w:cs="Segoe UI"/>
          <w:sz w:val="24"/>
          <w:szCs w:val="24"/>
        </w:rPr>
        <w:t xml:space="preserve">, 100563. </w:t>
      </w:r>
      <w:hyperlink r:id="rId28" w:history="1">
        <w:r w:rsidRPr="009824BD">
          <w:rPr>
            <w:rStyle w:val="Hyperlink"/>
            <w:rFonts w:ascii="Segoe UI" w:hAnsi="Segoe UI" w:cs="Segoe UI"/>
            <w:sz w:val="24"/>
            <w:szCs w:val="24"/>
          </w:rPr>
          <w:t>https://doi.org/10.1016/j.gfs.2021.100563</w:t>
        </w:r>
      </w:hyperlink>
    </w:p>
    <w:p w14:paraId="3919A6FB" w14:textId="2EFF4E87"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Privitera, G. J., Gillespie, J. J., &amp; Zuraikat, F. M. (2019). Impact of price elasticity on the healthfulness of food choices by gender. </w:t>
      </w:r>
      <w:r w:rsidRPr="009824BD">
        <w:rPr>
          <w:rFonts w:ascii="Segoe UI" w:hAnsi="Segoe UI" w:cs="Segoe UI"/>
          <w:i/>
          <w:iCs/>
          <w:sz w:val="24"/>
          <w:szCs w:val="24"/>
        </w:rPr>
        <w:t>Health Education Journal, 78</w:t>
      </w:r>
      <w:r w:rsidRPr="009824BD">
        <w:rPr>
          <w:rFonts w:ascii="Segoe UI" w:hAnsi="Segoe UI" w:cs="Segoe UI"/>
          <w:sz w:val="24"/>
          <w:szCs w:val="24"/>
        </w:rPr>
        <w:t xml:space="preserve">(4), 428-440. </w:t>
      </w:r>
      <w:hyperlink r:id="rId29" w:history="1">
        <w:r w:rsidRPr="009824BD">
          <w:rPr>
            <w:rStyle w:val="Hyperlink"/>
            <w:rFonts w:ascii="Segoe UI" w:hAnsi="Segoe UI" w:cs="Segoe UI"/>
            <w:sz w:val="24"/>
            <w:szCs w:val="24"/>
          </w:rPr>
          <w:t>https://doi.org/10.1177/0017896919842586</w:t>
        </w:r>
      </w:hyperlink>
    </w:p>
    <w:p w14:paraId="2827C972" w14:textId="1074D945"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Raghunathan, K., Headey, D., &amp; Herforth, A. (2021). Affordability of nutritious diets in rural India. </w:t>
      </w:r>
      <w:r w:rsidRPr="009824BD">
        <w:rPr>
          <w:rFonts w:ascii="Segoe UI" w:hAnsi="Segoe UI" w:cs="Segoe UI"/>
          <w:i/>
          <w:iCs/>
          <w:sz w:val="24"/>
          <w:szCs w:val="24"/>
        </w:rPr>
        <w:t>Food Policy, 99</w:t>
      </w:r>
      <w:r w:rsidRPr="009824BD">
        <w:rPr>
          <w:rFonts w:ascii="Segoe UI" w:hAnsi="Segoe UI" w:cs="Segoe UI"/>
          <w:sz w:val="24"/>
          <w:szCs w:val="24"/>
        </w:rPr>
        <w:t xml:space="preserve">, 101982. </w:t>
      </w:r>
      <w:hyperlink r:id="rId30" w:history="1">
        <w:r w:rsidRPr="009824BD">
          <w:rPr>
            <w:rStyle w:val="Hyperlink"/>
            <w:rFonts w:ascii="Segoe UI" w:hAnsi="Segoe UI" w:cs="Segoe UI"/>
            <w:sz w:val="24"/>
            <w:szCs w:val="24"/>
          </w:rPr>
          <w:t>https://doi.org/10.1016/j.foodpol.2020.101982</w:t>
        </w:r>
      </w:hyperlink>
    </w:p>
    <w:p w14:paraId="1967E139" w14:textId="00F1C0C7" w:rsidR="009824BD" w:rsidRPr="00AE44A1" w:rsidRDefault="009824BD" w:rsidP="009824BD">
      <w:pPr>
        <w:spacing w:after="120" w:line="240" w:lineRule="auto"/>
        <w:jc w:val="both"/>
        <w:rPr>
          <w:rFonts w:ascii="Segoe UI" w:hAnsi="Segoe UI" w:cs="Segoe UI"/>
          <w:sz w:val="24"/>
          <w:szCs w:val="24"/>
          <w:lang w:val="de-DE"/>
        </w:rPr>
      </w:pPr>
      <w:r w:rsidRPr="009824BD">
        <w:rPr>
          <w:rFonts w:ascii="Segoe UI" w:hAnsi="Segoe UI" w:cs="Segoe UI"/>
          <w:sz w:val="24"/>
          <w:szCs w:val="24"/>
        </w:rPr>
        <w:t xml:space="preserve">Razzak, A., Mahjabin, T., Khan, M. R. M., Hossain, M., Sadia, U., &amp; Zzaman, W. (2023). Effect of cooking methods on the nutritional quality of selected vegetables at Sylhet City. </w:t>
      </w:r>
      <w:r w:rsidRPr="00AE44A1">
        <w:rPr>
          <w:rFonts w:ascii="Segoe UI" w:hAnsi="Segoe UI" w:cs="Segoe UI"/>
          <w:i/>
          <w:iCs/>
          <w:sz w:val="24"/>
          <w:szCs w:val="24"/>
          <w:lang w:val="de-DE"/>
        </w:rPr>
        <w:t>Heliyon, 9</w:t>
      </w:r>
      <w:r w:rsidRPr="00AE44A1">
        <w:rPr>
          <w:rFonts w:ascii="Segoe UI" w:hAnsi="Segoe UI" w:cs="Segoe UI"/>
          <w:sz w:val="24"/>
          <w:szCs w:val="24"/>
          <w:lang w:val="de-DE"/>
        </w:rPr>
        <w:t xml:space="preserve">(11), e13260. </w:t>
      </w:r>
      <w:hyperlink r:id="rId31" w:history="1">
        <w:r w:rsidRPr="00AE44A1">
          <w:rPr>
            <w:rStyle w:val="Hyperlink"/>
            <w:rFonts w:ascii="Segoe UI" w:hAnsi="Segoe UI" w:cs="Segoe UI"/>
            <w:sz w:val="24"/>
            <w:szCs w:val="24"/>
            <w:lang w:val="de-DE"/>
          </w:rPr>
          <w:t>https://doi.org/10.1016/j.heliyon.2023.e13260</w:t>
        </w:r>
      </w:hyperlink>
    </w:p>
    <w:p w14:paraId="1F6940AF" w14:textId="433CC9BD" w:rsidR="009824BD" w:rsidRPr="009824BD" w:rsidRDefault="009824BD" w:rsidP="009824BD">
      <w:pPr>
        <w:spacing w:after="120" w:line="240" w:lineRule="auto"/>
        <w:jc w:val="both"/>
        <w:rPr>
          <w:rFonts w:ascii="Segoe UI" w:hAnsi="Segoe UI" w:cs="Segoe UI"/>
          <w:sz w:val="24"/>
          <w:szCs w:val="24"/>
          <w:lang w:val="en-US"/>
        </w:rPr>
      </w:pPr>
      <w:r w:rsidRPr="00AE44A1">
        <w:rPr>
          <w:rFonts w:ascii="Segoe UI" w:hAnsi="Segoe UI" w:cs="Segoe UI"/>
          <w:sz w:val="24"/>
          <w:szCs w:val="24"/>
          <w:lang w:val="de-DE"/>
        </w:rPr>
        <w:t xml:space="preserve">Ryckman, T., Beal, T., Nordhagen, S., Chimanya, K., &amp; Matji, J. (2021). </w:t>
      </w:r>
      <w:r w:rsidRPr="009824BD">
        <w:rPr>
          <w:rFonts w:ascii="Segoe UI" w:hAnsi="Segoe UI" w:cs="Segoe UI"/>
          <w:sz w:val="24"/>
          <w:szCs w:val="24"/>
        </w:rPr>
        <w:t xml:space="preserve">Affordability of nutritious foods for complementary feeding in Eastern and Southern Africa. </w:t>
      </w:r>
      <w:r w:rsidRPr="009824BD">
        <w:rPr>
          <w:rFonts w:ascii="Segoe UI" w:hAnsi="Segoe UI" w:cs="Segoe UI"/>
          <w:i/>
          <w:iCs/>
          <w:sz w:val="24"/>
          <w:szCs w:val="24"/>
        </w:rPr>
        <w:t>Nutrition Reviews, 79</w:t>
      </w:r>
      <w:r w:rsidRPr="009824BD">
        <w:rPr>
          <w:rFonts w:ascii="Segoe UI" w:hAnsi="Segoe UI" w:cs="Segoe UI"/>
          <w:sz w:val="24"/>
          <w:szCs w:val="24"/>
        </w:rPr>
        <w:t xml:space="preserve">(Supplement_1), 35-51. </w:t>
      </w:r>
      <w:hyperlink r:id="rId32" w:history="1">
        <w:r w:rsidRPr="009824BD">
          <w:rPr>
            <w:rStyle w:val="Hyperlink"/>
            <w:rFonts w:ascii="Segoe UI" w:hAnsi="Segoe UI" w:cs="Segoe UI"/>
            <w:sz w:val="24"/>
            <w:szCs w:val="24"/>
          </w:rPr>
          <w:t>https://doi.org/10.1093/nutrit/nuz065</w:t>
        </w:r>
      </w:hyperlink>
    </w:p>
    <w:p w14:paraId="23E3355E" w14:textId="142BCFF0" w:rsidR="009824BD" w:rsidRPr="009824BD" w:rsidRDefault="009824BD" w:rsidP="009824BD">
      <w:pPr>
        <w:spacing w:after="120" w:line="240" w:lineRule="auto"/>
        <w:jc w:val="both"/>
        <w:rPr>
          <w:rFonts w:ascii="Segoe UI" w:hAnsi="Segoe UI" w:cs="Segoe UI"/>
          <w:sz w:val="24"/>
          <w:szCs w:val="24"/>
          <w:lang w:val="en-US"/>
        </w:rPr>
      </w:pPr>
      <w:r w:rsidRPr="009824BD">
        <w:rPr>
          <w:rFonts w:ascii="Segoe UI" w:hAnsi="Segoe UI" w:cs="Segoe UI"/>
          <w:sz w:val="24"/>
          <w:szCs w:val="24"/>
        </w:rPr>
        <w:t xml:space="preserve">Saaka, M., Kizito, F., &amp; Hoeschle-Zeledon, I. (2021). Effect of nutrition education on nutrition-related knowledge, attitudes, and consumption of diversified diets among families owning a home garden in northern Ghana. </w:t>
      </w:r>
      <w:r w:rsidRPr="009824BD">
        <w:rPr>
          <w:rFonts w:ascii="Segoe UI" w:hAnsi="Segoe UI" w:cs="Segoe UI"/>
          <w:i/>
          <w:iCs/>
          <w:sz w:val="24"/>
          <w:szCs w:val="24"/>
        </w:rPr>
        <w:t>World Nutrition, 12</w:t>
      </w:r>
      <w:r w:rsidRPr="009824BD">
        <w:rPr>
          <w:rFonts w:ascii="Segoe UI" w:hAnsi="Segoe UI" w:cs="Segoe UI"/>
          <w:sz w:val="24"/>
          <w:szCs w:val="24"/>
        </w:rPr>
        <w:t xml:space="preserve">(4), 15-31. </w:t>
      </w:r>
      <w:hyperlink r:id="rId33" w:history="1">
        <w:r w:rsidRPr="009824BD">
          <w:rPr>
            <w:rStyle w:val="Hyperlink"/>
            <w:rFonts w:ascii="Segoe UI" w:hAnsi="Segoe UI" w:cs="Segoe UI"/>
            <w:sz w:val="24"/>
            <w:szCs w:val="24"/>
          </w:rPr>
          <w:t>https://doi.org/10.26596/wn.2021.111-120</w:t>
        </w:r>
      </w:hyperlink>
    </w:p>
    <w:p w14:paraId="69B06EF1" w14:textId="77777777" w:rsidR="009824BD" w:rsidRPr="009824BD" w:rsidRDefault="009824BD" w:rsidP="009824BD">
      <w:pPr>
        <w:spacing w:after="120" w:line="240" w:lineRule="auto"/>
        <w:jc w:val="both"/>
        <w:rPr>
          <w:rFonts w:ascii="Segoe UI" w:hAnsi="Segoe UI" w:cs="Segoe UI"/>
          <w:sz w:val="24"/>
          <w:szCs w:val="24"/>
        </w:rPr>
      </w:pPr>
      <w:r w:rsidRPr="009824BD">
        <w:rPr>
          <w:rFonts w:ascii="Segoe UI" w:hAnsi="Segoe UI" w:cs="Segoe UI"/>
          <w:sz w:val="24"/>
          <w:szCs w:val="24"/>
        </w:rPr>
        <w:t xml:space="preserve">Quisumbing, A. R., &amp; Doss, C. R. (2021). Gender in agriculture and food systems. In </w:t>
      </w:r>
      <w:r w:rsidRPr="009824BD">
        <w:rPr>
          <w:rFonts w:ascii="Segoe UI" w:hAnsi="Segoe UI" w:cs="Segoe UI"/>
          <w:i/>
          <w:iCs/>
          <w:sz w:val="24"/>
          <w:szCs w:val="24"/>
        </w:rPr>
        <w:t>Handbook of agricultural economics, 5</w:t>
      </w:r>
      <w:r w:rsidRPr="009824BD">
        <w:rPr>
          <w:rFonts w:ascii="Segoe UI" w:hAnsi="Segoe UI" w:cs="Segoe UI"/>
          <w:sz w:val="24"/>
          <w:szCs w:val="24"/>
        </w:rPr>
        <w:t>, 4481-4549.</w:t>
      </w:r>
    </w:p>
    <w:p w14:paraId="309D0B5D" w14:textId="77777777" w:rsidR="009824BD" w:rsidRPr="009824BD" w:rsidRDefault="009824BD" w:rsidP="009824BD">
      <w:pPr>
        <w:spacing w:after="120" w:line="240" w:lineRule="auto"/>
        <w:jc w:val="both"/>
        <w:rPr>
          <w:rFonts w:ascii="Segoe UI" w:hAnsi="Segoe UI" w:cs="Segoe UI"/>
          <w:sz w:val="24"/>
          <w:szCs w:val="24"/>
        </w:rPr>
      </w:pPr>
      <w:r w:rsidRPr="009824BD">
        <w:rPr>
          <w:rFonts w:ascii="Segoe UI" w:hAnsi="Segoe UI" w:cs="Segoe UI"/>
          <w:sz w:val="24"/>
          <w:szCs w:val="24"/>
        </w:rPr>
        <w:t xml:space="preserve">UNICEF. (2019). </w:t>
      </w:r>
      <w:r w:rsidRPr="009824BD">
        <w:rPr>
          <w:rFonts w:ascii="Segoe UI" w:hAnsi="Segoe UI" w:cs="Segoe UI"/>
          <w:i/>
          <w:iCs/>
          <w:sz w:val="24"/>
          <w:szCs w:val="24"/>
        </w:rPr>
        <w:t>The State of the World’s Children 2023: Children, Food and Nutrition</w:t>
      </w:r>
      <w:r w:rsidRPr="009824BD">
        <w:rPr>
          <w:rFonts w:ascii="Segoe UI" w:hAnsi="Segoe UI" w:cs="Segoe UI"/>
          <w:sz w:val="24"/>
          <w:szCs w:val="24"/>
        </w:rPr>
        <w:t xml:space="preserve">. Retrieved from </w:t>
      </w:r>
      <w:hyperlink r:id="rId34" w:tgtFrame="_new" w:history="1">
        <w:r w:rsidRPr="009824BD">
          <w:rPr>
            <w:rStyle w:val="Hyperlink"/>
            <w:rFonts w:ascii="Segoe UI" w:hAnsi="Segoe UI" w:cs="Segoe UI"/>
            <w:sz w:val="24"/>
            <w:szCs w:val="24"/>
          </w:rPr>
          <w:t>https://www.unicef.org/media/60831/file/SOWC-2019-ESA.pdf</w:t>
        </w:r>
      </w:hyperlink>
    </w:p>
    <w:p w14:paraId="35308483" w14:textId="19A455E5" w:rsidR="002C73D0" w:rsidRPr="009824BD" w:rsidRDefault="009824BD" w:rsidP="009824BD">
      <w:pPr>
        <w:spacing w:after="120" w:line="240" w:lineRule="auto"/>
        <w:jc w:val="both"/>
        <w:rPr>
          <w:rFonts w:ascii="Segoe UI" w:hAnsi="Segoe UI" w:cs="Segoe UI"/>
          <w:sz w:val="24"/>
          <w:szCs w:val="24"/>
          <w:lang w:val="en-US"/>
        </w:rPr>
      </w:pPr>
      <w:r>
        <w:rPr>
          <w:rFonts w:ascii="Segoe UI" w:hAnsi="Segoe UI" w:cs="Segoe UI"/>
          <w:sz w:val="24"/>
          <w:szCs w:val="24"/>
          <w:lang w:val="en-US"/>
        </w:rPr>
        <w:t>WFP [</w:t>
      </w:r>
      <w:r w:rsidRPr="009824BD">
        <w:rPr>
          <w:rFonts w:ascii="Segoe UI" w:hAnsi="Segoe UI" w:cs="Segoe UI"/>
          <w:sz w:val="24"/>
          <w:szCs w:val="24"/>
        </w:rPr>
        <w:t>World Food Programme</w:t>
      </w:r>
      <w:r>
        <w:rPr>
          <w:rFonts w:ascii="Segoe UI" w:hAnsi="Segoe UI" w:cs="Segoe UI"/>
          <w:sz w:val="24"/>
          <w:szCs w:val="24"/>
          <w:lang w:val="en-US"/>
        </w:rPr>
        <w:t>]</w:t>
      </w:r>
      <w:r w:rsidRPr="009824BD">
        <w:rPr>
          <w:rFonts w:ascii="Segoe UI" w:hAnsi="Segoe UI" w:cs="Segoe UI"/>
          <w:sz w:val="24"/>
          <w:szCs w:val="24"/>
        </w:rPr>
        <w:t xml:space="preserve">. (2019). </w:t>
      </w:r>
      <w:r w:rsidRPr="009824BD">
        <w:rPr>
          <w:rFonts w:ascii="Segoe UI" w:hAnsi="Segoe UI" w:cs="Segoe UI"/>
          <w:i/>
          <w:iCs/>
          <w:sz w:val="24"/>
          <w:szCs w:val="24"/>
        </w:rPr>
        <w:t>Fill the Nutrient Gap Tanzania: Findings</w:t>
      </w:r>
      <w:r w:rsidRPr="009824BD">
        <w:rPr>
          <w:rFonts w:ascii="Segoe UI" w:hAnsi="Segoe UI" w:cs="Segoe UI"/>
          <w:sz w:val="24"/>
          <w:szCs w:val="24"/>
        </w:rPr>
        <w:t xml:space="preserve">. Tanzania Food &amp; Nutrition Centre and World Food Programme. Retrieved from </w:t>
      </w:r>
      <w:hyperlink r:id="rId35" w:history="1">
        <w:r w:rsidRPr="009824BD">
          <w:rPr>
            <w:rStyle w:val="Hyperlink"/>
            <w:rFonts w:ascii="Segoe UI" w:hAnsi="Segoe UI" w:cs="Segoe UI"/>
            <w:sz w:val="24"/>
            <w:szCs w:val="24"/>
          </w:rPr>
          <w:t>https://docs.wfp.org/api/documents/WFP-0000023276/download/?Iframe</w:t>
        </w:r>
      </w:hyperlink>
      <w:r w:rsidRPr="009824BD">
        <w:rPr>
          <w:rFonts w:ascii="Segoe UI" w:hAnsi="Segoe UI" w:cs="Segoe UI"/>
          <w:sz w:val="24"/>
          <w:szCs w:val="24"/>
        </w:rPr>
        <w:t xml:space="preserve">. Accessed </w:t>
      </w:r>
      <w:r w:rsidRPr="009824BD">
        <w:rPr>
          <w:rFonts w:ascii="Segoe UI" w:hAnsi="Segoe UI" w:cs="Segoe UI"/>
          <w:sz w:val="24"/>
          <w:szCs w:val="24"/>
          <w:lang w:val="en-US"/>
        </w:rPr>
        <w:t>October</w:t>
      </w:r>
      <w:r w:rsidRPr="009824BD">
        <w:rPr>
          <w:rFonts w:ascii="Segoe UI" w:hAnsi="Segoe UI" w:cs="Segoe UI"/>
          <w:sz w:val="24"/>
          <w:szCs w:val="24"/>
        </w:rPr>
        <w:t xml:space="preserve"> 23, 20</w:t>
      </w:r>
      <w:r w:rsidRPr="009824BD">
        <w:rPr>
          <w:rFonts w:ascii="Segoe UI" w:hAnsi="Segoe UI" w:cs="Segoe UI"/>
          <w:sz w:val="24"/>
          <w:szCs w:val="24"/>
          <w:lang w:val="en-US"/>
        </w:rPr>
        <w:t>24</w:t>
      </w:r>
      <w:r w:rsidRPr="009824BD">
        <w:rPr>
          <w:rFonts w:ascii="Segoe UI" w:hAnsi="Segoe UI" w:cs="Segoe UI"/>
          <w:sz w:val="24"/>
          <w:szCs w:val="24"/>
        </w:rPr>
        <w:t>.</w:t>
      </w:r>
    </w:p>
    <w:sectPr w:rsidR="002C73D0" w:rsidRPr="009824B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E11E2" w14:textId="77777777" w:rsidR="00A5272F" w:rsidRDefault="00A5272F">
      <w:pPr>
        <w:spacing w:line="240" w:lineRule="auto"/>
      </w:pPr>
      <w:r>
        <w:separator/>
      </w:r>
    </w:p>
  </w:endnote>
  <w:endnote w:type="continuationSeparator" w:id="0">
    <w:p w14:paraId="5B98CE8C" w14:textId="77777777" w:rsidR="00A5272F" w:rsidRDefault="00A527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14235" w14:textId="77777777" w:rsidR="00A5272F" w:rsidRDefault="00A5272F">
      <w:pPr>
        <w:spacing w:after="0"/>
      </w:pPr>
      <w:r>
        <w:separator/>
      </w:r>
    </w:p>
  </w:footnote>
  <w:footnote w:type="continuationSeparator" w:id="0">
    <w:p w14:paraId="43723ECF" w14:textId="77777777" w:rsidR="00A5272F" w:rsidRDefault="00A5272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52FF3"/>
    <w:multiLevelType w:val="singleLevel"/>
    <w:tmpl w:val="1BB52FF3"/>
    <w:lvl w:ilvl="0">
      <w:start w:val="1"/>
      <w:numFmt w:val="decimal"/>
      <w:suff w:val="space"/>
      <w:lvlText w:val="%1."/>
      <w:lvlJc w:val="left"/>
    </w:lvl>
  </w:abstractNum>
  <w:num w:numId="1" w16cid:durableId="2076125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4DE70D0"/>
    <w:rsid w:val="000352BC"/>
    <w:rsid w:val="00071521"/>
    <w:rsid w:val="00073AEE"/>
    <w:rsid w:val="00094EDA"/>
    <w:rsid w:val="000D5374"/>
    <w:rsid w:val="000F6FEB"/>
    <w:rsid w:val="001205AD"/>
    <w:rsid w:val="001A54A5"/>
    <w:rsid w:val="001E4D58"/>
    <w:rsid w:val="002B0CB5"/>
    <w:rsid w:val="002C65D4"/>
    <w:rsid w:val="002C73D0"/>
    <w:rsid w:val="002D722D"/>
    <w:rsid w:val="00303697"/>
    <w:rsid w:val="003126FA"/>
    <w:rsid w:val="00323AFB"/>
    <w:rsid w:val="0032759C"/>
    <w:rsid w:val="00331546"/>
    <w:rsid w:val="00340D24"/>
    <w:rsid w:val="003A1F49"/>
    <w:rsid w:val="00472EA1"/>
    <w:rsid w:val="00486167"/>
    <w:rsid w:val="00531FEF"/>
    <w:rsid w:val="00647834"/>
    <w:rsid w:val="00671087"/>
    <w:rsid w:val="00741DF0"/>
    <w:rsid w:val="007F1973"/>
    <w:rsid w:val="00826115"/>
    <w:rsid w:val="008373D5"/>
    <w:rsid w:val="008D06CF"/>
    <w:rsid w:val="008F1CBF"/>
    <w:rsid w:val="00961B24"/>
    <w:rsid w:val="009824BD"/>
    <w:rsid w:val="009E62BD"/>
    <w:rsid w:val="00A30594"/>
    <w:rsid w:val="00A5272F"/>
    <w:rsid w:val="00AE44A1"/>
    <w:rsid w:val="00B618C5"/>
    <w:rsid w:val="00B82CC4"/>
    <w:rsid w:val="00BC06F7"/>
    <w:rsid w:val="00BD12DC"/>
    <w:rsid w:val="00BE4D3C"/>
    <w:rsid w:val="00C31013"/>
    <w:rsid w:val="00C724ED"/>
    <w:rsid w:val="00C74CF0"/>
    <w:rsid w:val="00CF51FC"/>
    <w:rsid w:val="00D427E9"/>
    <w:rsid w:val="00D712AE"/>
    <w:rsid w:val="00DB784C"/>
    <w:rsid w:val="00E30756"/>
    <w:rsid w:val="00E5298A"/>
    <w:rsid w:val="00EB6A83"/>
    <w:rsid w:val="00ED2386"/>
    <w:rsid w:val="00EF509B"/>
    <w:rsid w:val="00F10C29"/>
    <w:rsid w:val="00FA21E2"/>
    <w:rsid w:val="00FA36E7"/>
    <w:rsid w:val="00FC13CA"/>
    <w:rsid w:val="087A0600"/>
    <w:rsid w:val="24DE70D0"/>
    <w:rsid w:val="45712F8F"/>
    <w:rsid w:val="57125614"/>
    <w:rsid w:val="5F6C36A6"/>
    <w:rsid w:val="61D370E9"/>
    <w:rsid w:val="70A409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5D2359"/>
  <w15:docId w15:val="{A49F4458-900D-4B7A-B88A-C030B2A7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GB" w:eastAsia="en-US"/>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next w:val="Normal"/>
    <w:uiPriority w:val="9"/>
    <w:semiHidden/>
    <w:unhideWhenUsed/>
    <w:qFormat/>
    <w:pPr>
      <w:spacing w:beforeAutospacing="1" w:afterAutospacing="1"/>
      <w:outlineLvl w:val="2"/>
    </w:pPr>
    <w:rPr>
      <w:rFonts w:ascii="SimSun" w:hAnsi="SimSun" w:hint="eastAsia"/>
      <w:b/>
      <w:bCs/>
      <w:sz w:val="27"/>
      <w:szCs w:val="27"/>
      <w:lang w:val="en-US" w:eastAsia="zh-CN"/>
    </w:rPr>
  </w:style>
  <w:style w:type="paragraph" w:styleId="Heading4">
    <w:name w:val="heading 4"/>
    <w:next w:val="Normal"/>
    <w:uiPriority w:val="9"/>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styleId="ListParagraph">
    <w:name w:val="List Paragraph"/>
    <w:basedOn w:val="Normal"/>
    <w:uiPriority w:val="34"/>
    <w:qFormat/>
    <w:pPr>
      <w:ind w:left="720"/>
      <w:contextualSpacing/>
    </w:pPr>
  </w:style>
  <w:style w:type="paragraph" w:customStyle="1" w:styleId="Bibliography2">
    <w:name w:val="Bibliography2"/>
    <w:basedOn w:val="Normal"/>
    <w:next w:val="Normal"/>
    <w:uiPriority w:val="37"/>
    <w:unhideWhenUsed/>
    <w:qFormat/>
    <w:rPr>
      <w:lang w:val="en-US"/>
    </w:rPr>
  </w:style>
  <w:style w:type="character" w:styleId="Hyperlink">
    <w:name w:val="Hyperlink"/>
    <w:basedOn w:val="DefaultParagraphFont"/>
    <w:uiPriority w:val="99"/>
    <w:rsid w:val="00531FEF"/>
    <w:rPr>
      <w:color w:val="0563C1" w:themeColor="hyperlink"/>
      <w:u w:val="single"/>
    </w:rPr>
  </w:style>
  <w:style w:type="character" w:styleId="UnresolvedMention">
    <w:name w:val="Unresolved Mention"/>
    <w:basedOn w:val="DefaultParagraphFont"/>
    <w:uiPriority w:val="99"/>
    <w:semiHidden/>
    <w:unhideWhenUsed/>
    <w:rsid w:val="00982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2318144">
      <w:bodyDiv w:val="1"/>
      <w:marLeft w:val="0"/>
      <w:marRight w:val="0"/>
      <w:marTop w:val="0"/>
      <w:marBottom w:val="0"/>
      <w:divBdr>
        <w:top w:val="none" w:sz="0" w:space="0" w:color="auto"/>
        <w:left w:val="none" w:sz="0" w:space="0" w:color="auto"/>
        <w:bottom w:val="none" w:sz="0" w:space="0" w:color="auto"/>
        <w:right w:val="none" w:sz="0" w:space="0" w:color="auto"/>
      </w:divBdr>
    </w:div>
    <w:div w:id="786195658">
      <w:bodyDiv w:val="1"/>
      <w:marLeft w:val="0"/>
      <w:marRight w:val="0"/>
      <w:marTop w:val="0"/>
      <w:marBottom w:val="0"/>
      <w:divBdr>
        <w:top w:val="none" w:sz="0" w:space="0" w:color="auto"/>
        <w:left w:val="none" w:sz="0" w:space="0" w:color="auto"/>
        <w:bottom w:val="none" w:sz="0" w:space="0" w:color="auto"/>
        <w:right w:val="none" w:sz="0" w:space="0" w:color="auto"/>
      </w:divBdr>
      <w:divsChild>
        <w:div w:id="1830170618">
          <w:marLeft w:val="0"/>
          <w:marRight w:val="0"/>
          <w:marTop w:val="0"/>
          <w:marBottom w:val="0"/>
          <w:divBdr>
            <w:top w:val="none" w:sz="0" w:space="0" w:color="auto"/>
            <w:left w:val="none" w:sz="0" w:space="0" w:color="auto"/>
            <w:bottom w:val="none" w:sz="0" w:space="0" w:color="auto"/>
            <w:right w:val="none" w:sz="0" w:space="0" w:color="auto"/>
          </w:divBdr>
          <w:divsChild>
            <w:div w:id="1106077843">
              <w:marLeft w:val="0"/>
              <w:marRight w:val="0"/>
              <w:marTop w:val="0"/>
              <w:marBottom w:val="0"/>
              <w:divBdr>
                <w:top w:val="none" w:sz="0" w:space="0" w:color="auto"/>
                <w:left w:val="none" w:sz="0" w:space="0" w:color="auto"/>
                <w:bottom w:val="none" w:sz="0" w:space="0" w:color="auto"/>
                <w:right w:val="none" w:sz="0" w:space="0" w:color="auto"/>
              </w:divBdr>
              <w:divsChild>
                <w:div w:id="62290961">
                  <w:marLeft w:val="0"/>
                  <w:marRight w:val="0"/>
                  <w:marTop w:val="0"/>
                  <w:marBottom w:val="0"/>
                  <w:divBdr>
                    <w:top w:val="none" w:sz="0" w:space="0" w:color="auto"/>
                    <w:left w:val="none" w:sz="0" w:space="0" w:color="auto"/>
                    <w:bottom w:val="none" w:sz="0" w:space="0" w:color="auto"/>
                    <w:right w:val="none" w:sz="0" w:space="0" w:color="auto"/>
                  </w:divBdr>
                  <w:divsChild>
                    <w:div w:id="1394700689">
                      <w:marLeft w:val="0"/>
                      <w:marRight w:val="0"/>
                      <w:marTop w:val="0"/>
                      <w:marBottom w:val="0"/>
                      <w:divBdr>
                        <w:top w:val="none" w:sz="0" w:space="0" w:color="auto"/>
                        <w:left w:val="none" w:sz="0" w:space="0" w:color="auto"/>
                        <w:bottom w:val="none" w:sz="0" w:space="0" w:color="auto"/>
                        <w:right w:val="none" w:sz="0" w:space="0" w:color="auto"/>
                      </w:divBdr>
                      <w:divsChild>
                        <w:div w:id="2085836401">
                          <w:marLeft w:val="0"/>
                          <w:marRight w:val="0"/>
                          <w:marTop w:val="0"/>
                          <w:marBottom w:val="0"/>
                          <w:divBdr>
                            <w:top w:val="none" w:sz="0" w:space="0" w:color="auto"/>
                            <w:left w:val="none" w:sz="0" w:space="0" w:color="auto"/>
                            <w:bottom w:val="none" w:sz="0" w:space="0" w:color="auto"/>
                            <w:right w:val="none" w:sz="0" w:space="0" w:color="auto"/>
                          </w:divBdr>
                          <w:divsChild>
                            <w:div w:id="19229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103566">
      <w:bodyDiv w:val="1"/>
      <w:marLeft w:val="0"/>
      <w:marRight w:val="0"/>
      <w:marTop w:val="0"/>
      <w:marBottom w:val="0"/>
      <w:divBdr>
        <w:top w:val="none" w:sz="0" w:space="0" w:color="auto"/>
        <w:left w:val="none" w:sz="0" w:space="0" w:color="auto"/>
        <w:bottom w:val="none" w:sz="0" w:space="0" w:color="auto"/>
        <w:right w:val="none" w:sz="0" w:space="0" w:color="auto"/>
      </w:divBdr>
      <w:divsChild>
        <w:div w:id="325472694">
          <w:marLeft w:val="0"/>
          <w:marRight w:val="0"/>
          <w:marTop w:val="0"/>
          <w:marBottom w:val="0"/>
          <w:divBdr>
            <w:top w:val="none" w:sz="0" w:space="0" w:color="auto"/>
            <w:left w:val="none" w:sz="0" w:space="0" w:color="auto"/>
            <w:bottom w:val="none" w:sz="0" w:space="0" w:color="auto"/>
            <w:right w:val="none" w:sz="0" w:space="0" w:color="auto"/>
          </w:divBdr>
          <w:divsChild>
            <w:div w:id="733747219">
              <w:marLeft w:val="0"/>
              <w:marRight w:val="0"/>
              <w:marTop w:val="0"/>
              <w:marBottom w:val="0"/>
              <w:divBdr>
                <w:top w:val="none" w:sz="0" w:space="0" w:color="auto"/>
                <w:left w:val="none" w:sz="0" w:space="0" w:color="auto"/>
                <w:bottom w:val="none" w:sz="0" w:space="0" w:color="auto"/>
                <w:right w:val="none" w:sz="0" w:space="0" w:color="auto"/>
              </w:divBdr>
              <w:divsChild>
                <w:div w:id="1942566373">
                  <w:marLeft w:val="0"/>
                  <w:marRight w:val="0"/>
                  <w:marTop w:val="0"/>
                  <w:marBottom w:val="0"/>
                  <w:divBdr>
                    <w:top w:val="none" w:sz="0" w:space="0" w:color="auto"/>
                    <w:left w:val="none" w:sz="0" w:space="0" w:color="auto"/>
                    <w:bottom w:val="none" w:sz="0" w:space="0" w:color="auto"/>
                    <w:right w:val="none" w:sz="0" w:space="0" w:color="auto"/>
                  </w:divBdr>
                  <w:divsChild>
                    <w:div w:id="36928907">
                      <w:marLeft w:val="0"/>
                      <w:marRight w:val="0"/>
                      <w:marTop w:val="0"/>
                      <w:marBottom w:val="0"/>
                      <w:divBdr>
                        <w:top w:val="none" w:sz="0" w:space="0" w:color="auto"/>
                        <w:left w:val="none" w:sz="0" w:space="0" w:color="auto"/>
                        <w:bottom w:val="none" w:sz="0" w:space="0" w:color="auto"/>
                        <w:right w:val="none" w:sz="0" w:space="0" w:color="auto"/>
                      </w:divBdr>
                      <w:divsChild>
                        <w:div w:id="1170213655">
                          <w:marLeft w:val="0"/>
                          <w:marRight w:val="0"/>
                          <w:marTop w:val="0"/>
                          <w:marBottom w:val="0"/>
                          <w:divBdr>
                            <w:top w:val="none" w:sz="0" w:space="0" w:color="auto"/>
                            <w:left w:val="none" w:sz="0" w:space="0" w:color="auto"/>
                            <w:bottom w:val="none" w:sz="0" w:space="0" w:color="auto"/>
                            <w:right w:val="none" w:sz="0" w:space="0" w:color="auto"/>
                          </w:divBdr>
                          <w:divsChild>
                            <w:div w:id="20055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138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3945/jn.109.115824" TargetMode="External"/><Relationship Id="rId18" Type="http://schemas.openxmlformats.org/officeDocument/2006/relationships/hyperlink" Target="https://doi.org/10.1186/s12889-024-17690-3" TargetMode="External"/><Relationship Id="rId26" Type="http://schemas.openxmlformats.org/officeDocument/2006/relationships/hyperlink" Target="https://doi.org/10.1017/S1368980017002473" TargetMode="External"/><Relationship Id="rId21" Type="http://schemas.openxmlformats.org/officeDocument/2006/relationships/hyperlink" Target="https://doi.org/10.1016/j.cities.2020.102819" TargetMode="External"/><Relationship Id="rId34" Type="http://schemas.openxmlformats.org/officeDocument/2006/relationships/hyperlink" Target="https://www.unicef.org/media/60831/file/SOWC-2019-ESA.pdf" TargetMode="External"/><Relationship Id="rId7" Type="http://schemas.openxmlformats.org/officeDocument/2006/relationships/image" Target="media/image1.png"/><Relationship Id="rId12" Type="http://schemas.openxmlformats.org/officeDocument/2006/relationships/hyperlink" Target="https://doi.org/10.1007/s00394-012-0380-y" TargetMode="External"/><Relationship Id="rId17" Type="http://schemas.openxmlformats.org/officeDocument/2006/relationships/hyperlink" Target="https://doi.org/10.1016/j.appet.2010.05.045" TargetMode="External"/><Relationship Id="rId25" Type="http://schemas.openxmlformats.org/officeDocument/2006/relationships/hyperlink" Target="https://doi.org/10.1080/19376812.2023.2174564" TargetMode="External"/><Relationship Id="rId33" Type="http://schemas.openxmlformats.org/officeDocument/2006/relationships/hyperlink" Target="https://doi.org/10.26596/wn.2021.111-120" TargetMode="External"/><Relationship Id="rId2" Type="http://schemas.openxmlformats.org/officeDocument/2006/relationships/styles" Target="styles.xml"/><Relationship Id="rId16" Type="http://schemas.openxmlformats.org/officeDocument/2006/relationships/hyperlink" Target="https://doi.org/10.1016/j.foodqual.2024.105275" TargetMode="External"/><Relationship Id="rId20" Type="http://schemas.openxmlformats.org/officeDocument/2006/relationships/hyperlink" Target="https://doi.org/10.1016/S2214-109X(20)30316-0" TargetMode="External"/><Relationship Id="rId29" Type="http://schemas.openxmlformats.org/officeDocument/2006/relationships/hyperlink" Target="https://doi.org/10.1177/001789691984258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foodpol.2020.101983" TargetMode="External"/><Relationship Id="rId24" Type="http://schemas.openxmlformats.org/officeDocument/2006/relationships/hyperlink" Target="https://doi.org/10.1016/j.foodpol.2018.06.010" TargetMode="External"/><Relationship Id="rId32" Type="http://schemas.openxmlformats.org/officeDocument/2006/relationships/hyperlink" Target="https://doi.org/10.1093/nutrit/nuz065"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openknowledge.fao.org/server/api/core/bitstreams/1f66b67b-1e45-45d1-b003-86162fd35dab/content" TargetMode="External"/><Relationship Id="rId23" Type="http://schemas.openxmlformats.org/officeDocument/2006/relationships/hyperlink" Target="https://doi.org/10.1016/j.foodpol.2012.11.004" TargetMode="External"/><Relationship Id="rId28" Type="http://schemas.openxmlformats.org/officeDocument/2006/relationships/hyperlink" Target="https://doi.org/10.1016/j.gfs.2021.100563" TargetMode="External"/><Relationship Id="rId36" Type="http://schemas.openxmlformats.org/officeDocument/2006/relationships/fontTable" Target="fontTable.xml"/><Relationship Id="rId10" Type="http://schemas.openxmlformats.org/officeDocument/2006/relationships/hyperlink" Target="https://doi.org/10.1016/j.gfs.2021.100582" TargetMode="External"/><Relationship Id="rId19" Type="http://schemas.openxmlformats.org/officeDocument/2006/relationships/hyperlink" Target="https://doi.org/10.1093/jn/nxz199" TargetMode="External"/><Relationship Id="rId31" Type="http://schemas.openxmlformats.org/officeDocument/2006/relationships/hyperlink" Target="https://doi.org/10.1016/j.heliyon.2023.e13260" TargetMode="External"/><Relationship Id="rId4" Type="http://schemas.openxmlformats.org/officeDocument/2006/relationships/webSettings" Target="webSettings.xml"/><Relationship Id="rId9" Type="http://schemas.openxmlformats.org/officeDocument/2006/relationships/hyperlink" Target="https://doi.org/10.1016/j.worlddev.2024.106714" TargetMode="External"/><Relationship Id="rId14" Type="http://schemas.openxmlformats.org/officeDocument/2006/relationships/hyperlink" Target="https://doi.org/10.1016/j.gfs.2019.06.002" TargetMode="External"/><Relationship Id="rId22" Type="http://schemas.openxmlformats.org/officeDocument/2006/relationships/hyperlink" Target="https://doi.org/10.1080/19475683.2017.1372617" TargetMode="External"/><Relationship Id="rId27" Type="http://schemas.openxmlformats.org/officeDocument/2006/relationships/hyperlink" Target="https://doi.org/10.1016/S2214-109X(17)30204-0" TargetMode="External"/><Relationship Id="rId30" Type="http://schemas.openxmlformats.org/officeDocument/2006/relationships/hyperlink" Target="https://doi.org/10.1016/j.foodpol.2020.101982" TargetMode="External"/><Relationship Id="rId35" Type="http://schemas.openxmlformats.org/officeDocument/2006/relationships/hyperlink" Target="https://docs.wfp.org/api/documents/WFP-0000023276/download/?Iframe" TargetMode="External"/><Relationship Id="rId8" Type="http://schemas.openxmlformats.org/officeDocument/2006/relationships/hyperlink" Target="https://doi.org/10.1007/s12571-020-01017-0" TargetMode="Externa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2522</TotalTime>
  <Pages>25</Pages>
  <Words>8791</Words>
  <Characters>50109</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Chegere</dc:creator>
  <cp:lastModifiedBy>S M</cp:lastModifiedBy>
  <cp:revision>18</cp:revision>
  <dcterms:created xsi:type="dcterms:W3CDTF">2024-11-26T05:21:00Z</dcterms:created>
  <dcterms:modified xsi:type="dcterms:W3CDTF">2024-12-01T03:37:00Z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2057-12.2.0.18283</vt:lpwstr>
  </property>
  <property fmtid="{D5CDD505-2E9C-101B-9397-08002B2CF9AE}" pid="3" name="ICV">
    <vt:lpwstr>C44E154B571D42B1A2AF64328C6C7438_11</vt:lpwstr>
  </property>
</Properties>
</file>